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ting#9</w:t>
      </w:r>
      <w:r>
        <w:rPr>
          <w:rFonts w:hint="eastAsia" w:ascii="Arial" w:hAnsi="Arial" w:cs="Arial"/>
          <w:b/>
          <w:sz w:val="24"/>
          <w:szCs w:val="24"/>
          <w:highlight w:val="none"/>
          <w:lang w:val="en-US" w:eastAsia="zh-CN"/>
        </w:rPr>
        <w:t>6-e</w:t>
      </w:r>
      <w:r>
        <w:rPr>
          <w:rFonts w:hint="eastAsia" w:ascii="Arial" w:hAnsi="Arial" w:cs="Arial"/>
          <w:b/>
          <w:sz w:val="24"/>
          <w:szCs w:val="24"/>
          <w:highlight w:val="none"/>
        </w:rPr>
        <w:t xml:space="preserve">                                 </w:t>
      </w:r>
      <w:r>
        <w:rPr>
          <w:rFonts w:hint="eastAsia" w:ascii="Arial" w:hAnsi="Arial" w:cs="Arial"/>
          <w:b/>
          <w:sz w:val="24"/>
          <w:szCs w:val="24"/>
          <w:highlight w:val="none"/>
        </w:rPr>
        <w:t>R4-2010949</w:t>
      </w:r>
      <w:bookmarkStart w:id="22" w:name="_GoBack"/>
      <w:bookmarkEnd w:id="22"/>
      <w:r>
        <w:rPr>
          <w:rFonts w:hint="eastAsia" w:ascii="Arial" w:hAnsi="Arial" w:cs="Arial"/>
          <w:b/>
          <w:sz w:val="24"/>
          <w:szCs w:val="24"/>
          <w:highlight w:val="none"/>
        </w:rPr>
        <w:t xml:space="preserve">                        </w:t>
      </w:r>
    </w:p>
    <w:p>
      <w:pPr>
        <w:rPr>
          <w:rFonts w:hint="eastAsia" w:ascii="Arial" w:hAnsi="Arial" w:eastAsia="宋体" w:cs="Arial"/>
          <w:b/>
          <w:sz w:val="24"/>
          <w:szCs w:val="24"/>
          <w:highlight w:val="none"/>
          <w:lang w:val="en-US" w:eastAsia="zh-CN"/>
        </w:rPr>
      </w:pPr>
      <w:r>
        <w:rPr>
          <w:rFonts w:hint="eastAsia" w:ascii="Arial" w:hAnsi="Arial" w:cs="Arial"/>
          <w:b/>
          <w:sz w:val="24"/>
          <w:szCs w:val="24"/>
          <w:highlight w:val="none"/>
          <w:vertAlign w:val="baseline"/>
          <w:lang w:val="en-US" w:eastAsia="zh-CN"/>
        </w:rPr>
        <w:t>E-meeting,17</w:t>
      </w:r>
      <w:r>
        <w:rPr>
          <w:rFonts w:hint="eastAsia" w:ascii="Arial" w:hAnsi="Arial" w:cs="Arial"/>
          <w:b/>
          <w:sz w:val="24"/>
          <w:szCs w:val="24"/>
          <w:highlight w:val="none"/>
          <w:vertAlign w:val="superscript"/>
        </w:rPr>
        <w:t>th</w:t>
      </w:r>
      <w:r>
        <w:rPr>
          <w:rFonts w:hint="eastAsia" w:ascii="Arial" w:hAnsi="Arial" w:cs="Arial"/>
          <w:b/>
          <w:sz w:val="24"/>
          <w:szCs w:val="24"/>
          <w:highlight w:val="none"/>
        </w:rPr>
        <w:t xml:space="preserve"> </w:t>
      </w:r>
      <w:r>
        <w:rPr>
          <w:rFonts w:hint="eastAsia" w:ascii="Arial" w:hAnsi="Arial" w:eastAsia="宋体" w:cs="Arial"/>
          <w:b/>
          <w:sz w:val="24"/>
          <w:szCs w:val="24"/>
          <w:highlight w:val="none"/>
          <w:lang w:val="en-US" w:eastAsia="zh-CN"/>
        </w:rPr>
        <w:t>Aug</w:t>
      </w:r>
      <w:r>
        <w:rPr>
          <w:rFonts w:ascii="Arial" w:hAnsi="Arial" w:cs="Arial"/>
          <w:b/>
          <w:sz w:val="24"/>
          <w:szCs w:val="24"/>
          <w:highlight w:val="none"/>
        </w:rPr>
        <w:t xml:space="preserve"> –</w:t>
      </w:r>
      <w:r>
        <w:rPr>
          <w:rFonts w:hint="eastAsia" w:ascii="Arial" w:hAnsi="Arial" w:cs="Arial"/>
          <w:b/>
          <w:sz w:val="24"/>
          <w:szCs w:val="24"/>
          <w:highlight w:val="none"/>
        </w:rPr>
        <w:t xml:space="preserve"> </w:t>
      </w:r>
      <w:r>
        <w:rPr>
          <w:rFonts w:hint="eastAsia" w:ascii="Arial" w:hAnsi="Arial" w:eastAsia="宋体" w:cs="Arial"/>
          <w:b/>
          <w:sz w:val="24"/>
          <w:szCs w:val="24"/>
          <w:highlight w:val="none"/>
          <w:lang w:val="en-US" w:eastAsia="zh-CN"/>
        </w:rPr>
        <w:t>28</w:t>
      </w:r>
      <w:r>
        <w:rPr>
          <w:rFonts w:hint="eastAsia" w:ascii="Arial" w:hAnsi="Arial" w:cs="Arial"/>
          <w:b/>
          <w:sz w:val="24"/>
          <w:szCs w:val="24"/>
          <w:highlight w:val="none"/>
          <w:vertAlign w:val="superscript"/>
          <w:lang w:val="en-US" w:eastAsia="zh-CN"/>
        </w:rPr>
        <w:t>th</w:t>
      </w:r>
      <w:r>
        <w:rPr>
          <w:rFonts w:ascii="Arial" w:hAnsi="Arial" w:cs="Arial"/>
          <w:b/>
          <w:sz w:val="24"/>
          <w:szCs w:val="24"/>
          <w:highlight w:val="none"/>
        </w:rPr>
        <w:t xml:space="preserve"> </w:t>
      </w:r>
      <w:r>
        <w:rPr>
          <w:rFonts w:hint="eastAsia" w:ascii="Arial" w:hAnsi="Arial" w:eastAsia="宋体" w:cs="Arial"/>
          <w:b/>
          <w:sz w:val="24"/>
          <w:szCs w:val="24"/>
          <w:highlight w:val="none"/>
          <w:lang w:val="en-US" w:eastAsia="zh-CN"/>
        </w:rPr>
        <w:t>Aug</w:t>
      </w:r>
      <w:r>
        <w:rPr>
          <w:rFonts w:hint="eastAsia" w:ascii="Arial" w:hAnsi="Arial" w:cs="Arial"/>
          <w:b/>
          <w:sz w:val="24"/>
          <w:szCs w:val="24"/>
          <w:highlight w:val="none"/>
        </w:rPr>
        <w:t xml:space="preserve">, </w:t>
      </w:r>
      <w:r>
        <w:rPr>
          <w:rFonts w:ascii="Arial" w:hAnsi="Arial" w:cs="Arial"/>
          <w:b/>
          <w:sz w:val="24"/>
          <w:szCs w:val="24"/>
          <w:highlight w:val="none"/>
          <w:lang w:eastAsia="en-US"/>
        </w:rPr>
        <w:t>20</w:t>
      </w:r>
      <w:r>
        <w:rPr>
          <w:rFonts w:hint="eastAsia" w:ascii="Arial" w:hAnsi="Arial" w:cs="Arial"/>
          <w:b/>
          <w:sz w:val="24"/>
          <w:szCs w:val="24"/>
          <w:highlight w:val="none"/>
          <w:lang w:val="en-US" w:eastAsia="zh-CN"/>
        </w:rPr>
        <w:t>20</w:t>
      </w:r>
    </w:p>
    <w:p>
      <w:pPr>
        <w:rPr>
          <w:rFonts w:hint="eastAsia" w:ascii="Arial" w:hAnsi="Arial" w:cs="Arial"/>
          <w:b/>
          <w:sz w:val="24"/>
          <w:szCs w:val="24"/>
          <w:highlight w:val="none"/>
        </w:rPr>
      </w:pP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7</w:t>
      </w:r>
      <w:r>
        <w:rPr>
          <w:rFonts w:hint="eastAsia" w:ascii="Arial" w:hAnsi="Arial" w:eastAsia="宋体" w:cs="Arial"/>
          <w:b/>
          <w:sz w:val="24"/>
          <w:szCs w:val="24"/>
          <w:highlight w:val="none"/>
          <w:lang w:val="en-US" w:eastAsia="zh-CN"/>
        </w:rPr>
        <w:t>.4.1.3</w:t>
      </w:r>
    </w:p>
    <w:p>
      <w:pPr>
        <w:tabs>
          <w:tab w:val="left" w:pos="1985"/>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eastAsia" w:ascii="Arial" w:hAnsi="Arial" w:eastAsia="Malgun Gothic"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1"/>
      <w:r>
        <w:rPr>
          <w:rFonts w:hint="eastAsia" w:ascii="Arial" w:hAnsi="Arial" w:eastAsia="宋体" w:cs="Arial"/>
          <w:b/>
          <w:sz w:val="24"/>
          <w:szCs w:val="24"/>
          <w:highlight w:val="none"/>
          <w:lang w:val="en-US" w:eastAsia="zh-CN"/>
        </w:rPr>
        <w:t xml:space="preserve">Further </w:t>
      </w:r>
      <w:r>
        <w:rPr>
          <w:rFonts w:hint="eastAsia" w:ascii="Arial" w:hAnsi="Arial" w:cs="Arial"/>
          <w:b/>
          <w:sz w:val="24"/>
          <w:szCs w:val="24"/>
          <w:highlight w:val="none"/>
        </w:rPr>
        <w:t xml:space="preserve">Discussion on IAB </w:t>
      </w:r>
      <w:r>
        <w:rPr>
          <w:rFonts w:hint="eastAsia" w:ascii="Arial" w:hAnsi="Arial" w:cs="Arial"/>
          <w:b/>
          <w:sz w:val="24"/>
          <w:szCs w:val="24"/>
          <w:highlight w:val="none"/>
          <w:lang w:val="en-US" w:eastAsia="zh-CN"/>
        </w:rPr>
        <w:t>M</w:t>
      </w:r>
      <w:r>
        <w:rPr>
          <w:rFonts w:hint="eastAsia" w:ascii="Arial" w:hAnsi="Arial" w:cs="Arial"/>
          <w:b/>
          <w:sz w:val="24"/>
          <w:szCs w:val="24"/>
          <w:highlight w:val="none"/>
          <w:lang w:val="en-US" w:eastAsia="zh-CN"/>
        </w:rPr>
        <w:t>T feature list</w:t>
      </w:r>
    </w:p>
    <w:bookmarkEnd w:id="0"/>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rPr>
        <w:t xml:space="preserve">Approval  </w:t>
      </w:r>
    </w:p>
    <w:p>
      <w:pPr>
        <w:pStyle w:val="32"/>
        <w:tabs>
          <w:tab w:val="left" w:pos="567"/>
          <w:tab w:val="clear" w:pos="1985"/>
        </w:tabs>
        <w:adjustRightInd w:val="0"/>
        <w:ind w:left="510" w:hanging="510"/>
        <w:rPr>
          <w:highlight w:val="none"/>
        </w:rPr>
      </w:pPr>
      <w:r>
        <w:rPr>
          <w:highlight w:val="none"/>
        </w:rPr>
        <w:t>Introduction</w:t>
      </w:r>
    </w:p>
    <w:p>
      <w:pPr>
        <w:pStyle w:val="40"/>
        <w:pBdr>
          <w:top w:val="none" w:color="auto" w:sz="0" w:space="0"/>
          <w:left w:val="none" w:color="auto" w:sz="0" w:space="0"/>
          <w:bottom w:val="none" w:color="auto" w:sz="0" w:space="0"/>
          <w:right w:val="none" w:color="auto" w:sz="0" w:space="0"/>
          <w:between w:val="none" w:color="auto" w:sz="0" w:space="0"/>
        </w:pBdr>
        <w:rPr>
          <w:rFonts w:hint="eastAsia" w:ascii="Times New Roman" w:hAnsi="Times New Roman" w:eastAsia="MS Mincho"/>
          <w:highlight w:val="none"/>
          <w:lang w:val="en-US" w:eastAsia="zh-CN"/>
        </w:rPr>
      </w:pPr>
      <w:bookmarkStart w:id="2" w:name="OLE_LINK2"/>
      <w:r>
        <w:rPr>
          <w:rFonts w:ascii="Times New Roman" w:hAnsi="Times New Roman"/>
          <w:highlight w:val="none"/>
        </w:rPr>
        <w:t xml:space="preserve">In the last </w:t>
      </w:r>
      <w:r>
        <w:rPr>
          <w:rFonts w:hint="eastAsia" w:ascii="Times New Roman" w:hAnsi="Times New Roman"/>
          <w:highlight w:val="none"/>
        </w:rPr>
        <w:t>RAN#</w:t>
      </w:r>
      <w:r>
        <w:rPr>
          <w:rFonts w:hint="eastAsia" w:ascii="Times New Roman" w:hAnsi="Times New Roman" w:eastAsia="宋体"/>
          <w:highlight w:val="none"/>
          <w:lang w:val="en-US" w:eastAsia="zh-CN"/>
        </w:rPr>
        <w:t>95-</w:t>
      </w:r>
      <w:r>
        <w:rPr>
          <w:rFonts w:hint="eastAsia" w:ascii="Times New Roman" w:hAnsi="Times New Roman"/>
          <w:highlight w:val="none"/>
          <w:lang w:val="en-US" w:eastAsia="zh-CN"/>
        </w:rPr>
        <w:t xml:space="preserve">e </w:t>
      </w:r>
      <w:r>
        <w:rPr>
          <w:rFonts w:hint="eastAsia" w:ascii="Times New Roman" w:hAnsi="Times New Roman"/>
          <w:highlight w:val="none"/>
        </w:rPr>
        <w:t>meeting</w:t>
      </w:r>
      <w:r>
        <w:rPr>
          <w:rFonts w:ascii="Times New Roman" w:hAnsi="Times New Roman"/>
          <w:highlight w:val="none"/>
        </w:rPr>
        <w:t xml:space="preserve">, </w:t>
      </w:r>
      <w:r>
        <w:rPr>
          <w:rFonts w:hint="eastAsia" w:ascii="Times New Roman" w:hAnsi="Times New Roman"/>
          <w:highlight w:val="none"/>
        </w:rPr>
        <w:t xml:space="preserve">there were </w:t>
      </w:r>
      <w:r>
        <w:rPr>
          <w:rFonts w:hint="eastAsia" w:ascii="Times New Roman" w:hAnsi="Times New Roman"/>
          <w:highlight w:val="none"/>
          <w:lang w:val="en-US" w:eastAsia="zh-CN"/>
        </w:rPr>
        <w:t xml:space="preserve">extensive discussion on IAB-MT feature list and there are still lots of open issues left [1] for further discussion. In this contribution, we want to share some further inputs on that. </w:t>
      </w:r>
    </w:p>
    <w:bookmarkEnd w:id="2"/>
    <w:p>
      <w:pPr>
        <w:pStyle w:val="32"/>
        <w:tabs>
          <w:tab w:val="left" w:pos="567"/>
          <w:tab w:val="clear" w:pos="1985"/>
        </w:tabs>
        <w:adjustRightInd w:val="0"/>
        <w:ind w:left="510" w:hanging="510"/>
        <w:rPr>
          <w:highlight w:val="none"/>
        </w:rPr>
      </w:pPr>
      <w:r>
        <w:rPr>
          <w:rFonts w:hint="eastAsia" w:ascii="Arial" w:hAnsi="Arial"/>
          <w:highlight w:val="none"/>
        </w:rPr>
        <w:t xml:space="preserve">Discussion </w:t>
      </w:r>
      <w:bookmarkStart w:id="3" w:name="OLE_LINK13"/>
      <w:bookmarkStart w:id="4" w:name="OLE_LINK14"/>
    </w:p>
    <w:p>
      <w:pPr>
        <w:pStyle w:val="40"/>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jc w:val="both"/>
        <w:textAlignment w:val="auto"/>
        <w:outlineLvl w:val="1"/>
        <w:rPr>
          <w:rFonts w:hint="eastAsia"/>
          <w:b/>
          <w:bCs/>
          <w:highlight w:val="none"/>
          <w:lang w:val="en-US" w:eastAsia="zh-CN"/>
        </w:rPr>
      </w:pPr>
      <w:r>
        <w:rPr>
          <w:rFonts w:hint="eastAsia"/>
          <w:b/>
          <w:bCs/>
          <w:highlight w:val="none"/>
          <w:lang w:val="en-US" w:eastAsia="zh-CN"/>
        </w:rPr>
        <w:t xml:space="preserve">General </w:t>
      </w:r>
    </w:p>
    <w:p>
      <w:pPr>
        <w:pStyle w:val="40"/>
        <w:numPr>
          <w:ilvl w:val="0"/>
          <w:numId w:val="0"/>
        </w:numPr>
        <w:ind w:leftChars="0"/>
        <w:jc w:val="both"/>
        <w:rPr>
          <w:rFonts w:hint="eastAsia" w:ascii="Times New Roman" w:hAnsi="Times New Roman" w:cs="Times New Roman"/>
          <w:highlight w:val="none"/>
          <w:lang w:val="en-US" w:eastAsia="zh-CN"/>
        </w:rPr>
      </w:pPr>
      <w:bookmarkStart w:id="5" w:name="OLE_LINK10"/>
      <w:r>
        <w:rPr>
          <w:rFonts w:hint="default" w:ascii="Times New Roman" w:hAnsi="Times New Roman" w:cs="Times New Roman"/>
          <w:highlight w:val="none"/>
          <w:lang w:val="en-US" w:eastAsia="zh-CN"/>
        </w:rPr>
        <w:t xml:space="preserve">In this following section, we will review R15 NR UE </w:t>
      </w:r>
      <w:r>
        <w:rPr>
          <w:rFonts w:hint="eastAsia" w:ascii="Times New Roman" w:hAnsi="Times New Roman" w:cs="Times New Roman"/>
          <w:highlight w:val="none"/>
          <w:lang w:val="en-US" w:eastAsia="zh-CN"/>
        </w:rPr>
        <w:t>f</w:t>
      </w:r>
      <w:r>
        <w:rPr>
          <w:rFonts w:hint="default" w:ascii="Times New Roman" w:hAnsi="Times New Roman" w:cs="Times New Roman"/>
          <w:highlight w:val="none"/>
          <w:lang w:val="en-US" w:eastAsia="zh-CN"/>
        </w:rPr>
        <w:t>eatur</w:t>
      </w:r>
      <w:r>
        <w:rPr>
          <w:rFonts w:hint="eastAsia" w:ascii="Times New Roman" w:hAnsi="Times New Roman" w:cs="Times New Roman"/>
          <w:highlight w:val="none"/>
          <w:lang w:val="en-US" w:eastAsia="zh-CN"/>
        </w:rPr>
        <w:t>e list</w:t>
      </w:r>
      <w:r>
        <w:rPr>
          <w:rFonts w:hint="default" w:ascii="Times New Roman" w:hAnsi="Times New Roman" w:cs="Times New Roman"/>
          <w:highlight w:val="none"/>
          <w:lang w:val="en-US" w:eastAsia="zh-CN"/>
        </w:rPr>
        <w:t xml:space="preserve"> </w:t>
      </w:r>
      <w:r>
        <w:rPr>
          <w:rFonts w:hint="eastAsia" w:ascii="Times New Roman" w:hAnsi="Times New Roman" w:cs="Times New Roman"/>
          <w:highlight w:val="none"/>
          <w:lang w:val="en-US" w:eastAsia="zh-CN"/>
        </w:rPr>
        <w:t xml:space="preserve">from RAN4 perspective </w:t>
      </w:r>
      <w:r>
        <w:rPr>
          <w:rFonts w:hint="default" w:ascii="Times New Roman" w:hAnsi="Times New Roman" w:cs="Times New Roman"/>
          <w:highlight w:val="none"/>
          <w:lang w:val="en-US" w:eastAsia="zh-CN"/>
        </w:rPr>
        <w:t>in details and check its applicability for IAB-MT nodes.</w:t>
      </w:r>
      <w:bookmarkEnd w:id="5"/>
      <w:bookmarkStart w:id="6" w:name="OLE_LINK3"/>
    </w:p>
    <w:p>
      <w:pPr>
        <w:pStyle w:val="40"/>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jc w:val="both"/>
        <w:textAlignment w:val="auto"/>
        <w:outlineLvl w:val="1"/>
        <w:rPr>
          <w:rFonts w:hint="eastAsia"/>
          <w:b/>
          <w:bCs/>
          <w:highlight w:val="none"/>
          <w:lang w:val="en-US" w:eastAsia="zh-CN"/>
        </w:rPr>
      </w:pPr>
      <w:r>
        <w:rPr>
          <w:rFonts w:hint="eastAsia"/>
          <w:b/>
          <w:bCs/>
          <w:highlight w:val="none"/>
          <w:lang w:val="en-US" w:eastAsia="zh-CN"/>
        </w:rPr>
        <w:t>EN-DC, CA and SUL related issue</w:t>
      </w:r>
      <w:bookmarkEnd w:id="6"/>
    </w:p>
    <w:p>
      <w:pPr>
        <w:pStyle w:val="40"/>
        <w:numPr>
          <w:ilvl w:val="0"/>
          <w:numId w:val="0"/>
        </w:numPr>
        <w:ind w:leftChars="0"/>
        <w:jc w:val="both"/>
        <w:rPr>
          <w:rFonts w:hint="eastAsia"/>
          <w:highlight w:val="none"/>
          <w:lang w:val="en-US" w:eastAsia="zh-CN"/>
        </w:rPr>
      </w:pPr>
      <w:r>
        <w:rPr>
          <w:rFonts w:hint="eastAsia"/>
          <w:highlight w:val="none"/>
          <w:lang w:val="en-US" w:eastAsia="zh-CN"/>
        </w:rPr>
        <w:t xml:space="preserve">1-9 Support of EN-DC with LTE-NR coexistence in UL sharing from UE perspective </w:t>
      </w:r>
    </w:p>
    <w:p>
      <w:pPr>
        <w:pStyle w:val="40"/>
        <w:numPr>
          <w:ilvl w:val="0"/>
          <w:numId w:val="0"/>
        </w:numPr>
        <w:ind w:leftChars="0"/>
        <w:jc w:val="both"/>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The motivation for uplink sharing from UE perspective is not valid for FR1 IAB-MT</w:t>
      </w:r>
      <w:bookmarkStart w:id="7" w:name="OLE_LINK23"/>
      <w:r>
        <w:rPr>
          <w:rFonts w:hint="eastAsia" w:ascii="Times New Roman" w:hAnsi="Times New Roman" w:cs="Times New Roman"/>
          <w:highlight w:val="none"/>
          <w:lang w:val="en-US" w:eastAsia="zh-CN"/>
        </w:rPr>
        <w:t xml:space="preserve"> and it</w:t>
      </w:r>
      <w:r>
        <w:rPr>
          <w:rFonts w:hint="default" w:ascii="Times New Roman" w:hAnsi="Times New Roman" w:cs="Times New Roman"/>
          <w:highlight w:val="none"/>
          <w:lang w:val="en-US" w:eastAsia="zh-CN"/>
        </w:rPr>
        <w:t>’</w:t>
      </w:r>
      <w:r>
        <w:rPr>
          <w:rFonts w:hint="eastAsia" w:ascii="Times New Roman" w:hAnsi="Times New Roman" w:cs="Times New Roman"/>
          <w:highlight w:val="none"/>
          <w:lang w:val="en-US" w:eastAsia="zh-CN"/>
        </w:rPr>
        <w:t xml:space="preserve">s not necessary to have backhaul link.  </w:t>
      </w:r>
    </w:p>
    <w:p>
      <w:pPr>
        <w:pStyle w:val="40"/>
        <w:numPr>
          <w:ilvl w:val="0"/>
          <w:numId w:val="0"/>
        </w:numPr>
        <w:ind w:leftChars="0"/>
        <w:jc w:val="both"/>
        <w:rPr>
          <w:rFonts w:hint="default" w:ascii="Times New Roman" w:hAnsi="Times New Roman" w:cs="Times New Roman"/>
          <w:highlight w:val="none"/>
          <w:lang w:val="en-US" w:eastAsia="zh-CN"/>
        </w:rPr>
      </w:pPr>
      <w:bookmarkStart w:id="8" w:name="OLE_LINK43"/>
      <w:r>
        <w:rPr>
          <w:rFonts w:hint="eastAsia" w:ascii="Times New Roman" w:hAnsi="Times New Roman" w:cs="Times New Roman"/>
          <w:b/>
          <w:bCs/>
          <w:highlight w:val="none"/>
          <w:lang w:val="en-US" w:eastAsia="zh-CN"/>
        </w:rPr>
        <w:t xml:space="preserve">Proposal 1: </w:t>
      </w:r>
      <w:bookmarkEnd w:id="7"/>
      <w:bookmarkEnd w:id="8"/>
      <w:r>
        <w:rPr>
          <w:rFonts w:hint="eastAsia" w:ascii="Times New Roman" w:hAnsi="Times New Roman" w:cs="Times New Roman"/>
          <w:b/>
          <w:bCs/>
          <w:highlight w:val="none"/>
          <w:lang w:val="en-US" w:eastAsia="zh-CN"/>
        </w:rPr>
        <w:t>not supported for 1-9.</w:t>
      </w:r>
    </w:p>
    <w:p>
      <w:pPr>
        <w:pStyle w:val="40"/>
        <w:numPr>
          <w:ilvl w:val="0"/>
          <w:numId w:val="0"/>
        </w:numPr>
        <w:ind w:leftChars="0"/>
        <w:jc w:val="both"/>
        <w:rPr>
          <w:rFonts w:hint="eastAsia"/>
          <w:highlight w:val="none"/>
          <w:lang w:val="en-US" w:eastAsia="zh-CN"/>
        </w:rPr>
      </w:pPr>
      <w:r>
        <w:rPr>
          <w:rFonts w:hint="eastAsia"/>
          <w:highlight w:val="none"/>
          <w:lang w:val="en-US" w:eastAsia="zh-CN"/>
        </w:rPr>
        <w:t>1-10Switching time between LTE UL and NR UL for EN-DC with LTE-NR coexistence in UL sharing from UE perspective</w:t>
      </w:r>
    </w:p>
    <w:p>
      <w:pPr>
        <w:pStyle w:val="40"/>
        <w:numPr>
          <w:ilvl w:val="0"/>
          <w:numId w:val="0"/>
        </w:numPr>
        <w:ind w:leftChars="0"/>
        <w:jc w:val="both"/>
        <w:rPr>
          <w:rFonts w:hint="eastAsia" w:ascii="Times New Roman" w:hAnsi="Times New Roman" w:cs="Times New Roman"/>
          <w:highlight w:val="none"/>
          <w:lang w:val="en-US" w:eastAsia="zh-CN"/>
        </w:rPr>
      </w:pPr>
      <w:bookmarkStart w:id="9" w:name="OLE_LINK19"/>
      <w:r>
        <w:rPr>
          <w:rFonts w:hint="eastAsia" w:ascii="Times New Roman" w:hAnsi="Times New Roman" w:cs="Times New Roman"/>
          <w:highlight w:val="none"/>
          <w:lang w:val="en-US" w:eastAsia="zh-CN"/>
        </w:rPr>
        <w:t xml:space="preserve">As mentioned before, uplink sharing for IAB-MT is not necessary and therefore there are also no need to report the switching time if LTE and NR UL transmission in the shared carrier via TDM only or LTE and NR UL transmission in the shared carrier via FDM or TDM. </w:t>
      </w:r>
    </w:p>
    <w:bookmarkEnd w:id="9"/>
    <w:p>
      <w:pPr>
        <w:pStyle w:val="40"/>
        <w:numPr>
          <w:ilvl w:val="0"/>
          <w:numId w:val="0"/>
        </w:numPr>
        <w:ind w:leftChars="0"/>
        <w:jc w:val="both"/>
        <w:rPr>
          <w:rFonts w:hint="eastAsia" w:ascii="Times New Roman" w:hAnsi="Times New Roman" w:cs="Times New Roman"/>
          <w:b/>
          <w:bCs/>
          <w:highlight w:val="none"/>
          <w:lang w:val="en-US" w:eastAsia="zh-CN"/>
        </w:rPr>
      </w:pPr>
      <w:bookmarkStart w:id="10" w:name="OLE_LINK24"/>
      <w:r>
        <w:rPr>
          <w:rFonts w:hint="eastAsia" w:ascii="Times New Roman" w:hAnsi="Times New Roman" w:cs="Times New Roman"/>
          <w:b/>
          <w:bCs/>
          <w:highlight w:val="none"/>
          <w:lang w:val="en-US" w:eastAsia="zh-CN"/>
        </w:rPr>
        <w:t xml:space="preserve">Proposal 2: </w:t>
      </w:r>
      <w:bookmarkEnd w:id="10"/>
      <w:r>
        <w:rPr>
          <w:rFonts w:hint="eastAsia" w:ascii="Times New Roman" w:hAnsi="Times New Roman" w:cs="Times New Roman"/>
          <w:b/>
          <w:bCs/>
          <w:highlight w:val="none"/>
          <w:lang w:val="en-US" w:eastAsia="zh-CN"/>
        </w:rPr>
        <w:t>not supported for 1-10</w:t>
      </w:r>
    </w:p>
    <w:p>
      <w:pPr>
        <w:pStyle w:val="40"/>
        <w:numPr>
          <w:ilvl w:val="0"/>
          <w:numId w:val="0"/>
        </w:numPr>
        <w:ind w:leftChars="0"/>
        <w:jc w:val="both"/>
        <w:rPr>
          <w:rFonts w:hint="eastAsia"/>
          <w:highlight w:val="none"/>
          <w:lang w:val="en-US" w:eastAsia="zh-CN"/>
        </w:rPr>
      </w:pPr>
      <w:r>
        <w:rPr>
          <w:rFonts w:hint="eastAsia"/>
          <w:highlight w:val="none"/>
          <w:lang w:val="en-US" w:eastAsia="zh-CN"/>
        </w:rPr>
        <w:t xml:space="preserve">2-2 simultaneous reception or transmission with same or different numerologies in CA </w:t>
      </w:r>
    </w:p>
    <w:p>
      <w:pPr>
        <w:pStyle w:val="40"/>
        <w:numPr>
          <w:ilvl w:val="0"/>
          <w:numId w:val="0"/>
        </w:numPr>
        <w:ind w:leftChars="0"/>
        <w:jc w:val="both"/>
        <w:rPr>
          <w:rFonts w:hint="eastAsia"/>
          <w:highlight w:val="none"/>
          <w:lang w:val="en-US" w:eastAsia="zh-CN"/>
        </w:rPr>
      </w:pPr>
      <w:r>
        <w:rPr>
          <w:rFonts w:hint="eastAsia"/>
          <w:highlight w:val="none"/>
          <w:lang w:val="en-US" w:eastAsia="zh-CN"/>
        </w:rPr>
        <w:t xml:space="preserve">The same numerology for intra-band NR CA with contiguous or non-contiguous is mandatory with capability in both FR1 and FR2. And two mixed numerologies between FR1 band(s) and FR2 bands in the DL and UL are mandatory with capability if UE support inter-band NR CA including both FR1 band(s) and FR2 band(s).  This basic principle could also be reused for IAB-MT from implementation perspective. For intra-band CA, at least the same numerology could be supported and for inter-band CA including FR1 and FR2, different frequency ranges has different physical design from the bottom, then to support different numerologies in this case is also mandatory for normal system working. </w:t>
      </w:r>
    </w:p>
    <w:p>
      <w:pPr>
        <w:pStyle w:val="40"/>
        <w:numPr>
          <w:ilvl w:val="0"/>
          <w:numId w:val="0"/>
        </w:numPr>
        <w:ind w:leftChars="0"/>
        <w:jc w:val="both"/>
        <w:rPr>
          <w:rFonts w:hint="default"/>
          <w:highlight w:val="none"/>
          <w:lang w:val="en-US" w:eastAsia="zh-CN"/>
        </w:rPr>
      </w:pPr>
      <w:bookmarkStart w:id="11" w:name="OLE_LINK36"/>
      <w:bookmarkStart w:id="12" w:name="OLE_LINK27"/>
      <w:r>
        <w:rPr>
          <w:rFonts w:hint="eastAsia"/>
          <w:b/>
          <w:bCs/>
          <w:highlight w:val="none"/>
          <w:lang w:val="en-US" w:eastAsia="zh-CN"/>
        </w:rPr>
        <w:t>Proposal 3:</w:t>
      </w:r>
      <w:bookmarkEnd w:id="11"/>
      <w:bookmarkEnd w:id="12"/>
      <w:r>
        <w:rPr>
          <w:rFonts w:hint="eastAsia"/>
          <w:b/>
          <w:bCs/>
          <w:highlight w:val="none"/>
          <w:lang w:val="en-US" w:eastAsia="zh-CN"/>
        </w:rPr>
        <w:t xml:space="preserve"> optional for 2-2.</w:t>
      </w:r>
    </w:p>
    <w:p>
      <w:pPr>
        <w:pStyle w:val="40"/>
        <w:numPr>
          <w:ilvl w:val="0"/>
          <w:numId w:val="0"/>
        </w:numPr>
        <w:ind w:leftChars="0"/>
        <w:jc w:val="both"/>
        <w:rPr>
          <w:rFonts w:hint="eastAsia"/>
          <w:highlight w:val="none"/>
          <w:lang w:val="en-US" w:eastAsia="zh-CN"/>
        </w:rPr>
      </w:pPr>
      <w:r>
        <w:rPr>
          <w:rFonts w:hint="eastAsia"/>
          <w:highlight w:val="none"/>
          <w:lang w:val="en-US" w:eastAsia="zh-CN"/>
        </w:rPr>
        <w:t>2-3 Non-contiguous intra-band CA frequency separation class for FR2</w:t>
      </w:r>
    </w:p>
    <w:p>
      <w:pPr>
        <w:pStyle w:val="40"/>
        <w:numPr>
          <w:ilvl w:val="0"/>
          <w:numId w:val="0"/>
        </w:numPr>
        <w:ind w:leftChars="0"/>
        <w:jc w:val="both"/>
        <w:rPr>
          <w:rFonts w:hint="eastAsia"/>
          <w:highlight w:val="none"/>
          <w:lang w:val="en-US" w:eastAsia="zh-CN"/>
        </w:rPr>
      </w:pPr>
      <w:r>
        <w:rPr>
          <w:rFonts w:hint="eastAsia"/>
          <w:highlight w:val="none"/>
          <w:lang w:val="en-US" w:eastAsia="zh-CN"/>
        </w:rPr>
        <w:t xml:space="preserve">The limitation for legacy NR UE on NC CA freq spanning an its MIMO capability supported should be further discussed for FR2 IAB-MT, Indeed, in the existing FR2 NR BS side ,there are no such kind of limitation on frequency separation capability. </w:t>
      </w:r>
    </w:p>
    <w:p>
      <w:pPr>
        <w:pStyle w:val="40"/>
        <w:numPr>
          <w:ilvl w:val="0"/>
          <w:numId w:val="0"/>
        </w:numPr>
        <w:ind w:leftChars="0"/>
        <w:jc w:val="both"/>
        <w:rPr>
          <w:rFonts w:hint="eastAsia"/>
          <w:b/>
          <w:bCs/>
          <w:highlight w:val="none"/>
          <w:lang w:val="en-US" w:eastAsia="zh-CN"/>
        </w:rPr>
      </w:pPr>
      <w:r>
        <w:rPr>
          <w:rFonts w:hint="eastAsia"/>
          <w:b/>
          <w:bCs/>
          <w:highlight w:val="none"/>
          <w:lang w:val="en-US" w:eastAsia="zh-CN"/>
        </w:rPr>
        <w:t xml:space="preserve">Proposal 4: not supported for 2-3. </w:t>
      </w:r>
    </w:p>
    <w:p>
      <w:pPr>
        <w:pStyle w:val="40"/>
        <w:numPr>
          <w:ilvl w:val="0"/>
          <w:numId w:val="0"/>
        </w:numPr>
        <w:ind w:leftChars="0"/>
        <w:jc w:val="both"/>
        <w:rPr>
          <w:rFonts w:hint="default"/>
          <w:b/>
          <w:bCs/>
          <w:highlight w:val="none"/>
          <w:lang w:val="en-US" w:eastAsia="zh-CN"/>
        </w:rPr>
      </w:pPr>
    </w:p>
    <w:p>
      <w:pPr>
        <w:pStyle w:val="40"/>
        <w:numPr>
          <w:ilvl w:val="0"/>
          <w:numId w:val="0"/>
        </w:numPr>
        <w:ind w:leftChars="0"/>
        <w:jc w:val="both"/>
        <w:rPr>
          <w:rFonts w:hint="eastAsia"/>
          <w:highlight w:val="none"/>
          <w:lang w:val="en-US" w:eastAsia="zh-CN"/>
        </w:rPr>
      </w:pPr>
      <w:bookmarkStart w:id="13" w:name="OLE_LINK8"/>
      <w:r>
        <w:rPr>
          <w:rFonts w:hint="eastAsia"/>
          <w:highlight w:val="none"/>
          <w:lang w:val="en-US" w:eastAsia="zh-CN"/>
        </w:rPr>
        <w:t>2-4 Simultaneous reception and transmission for inter-band EN-DC (TDD-TDD or TDD-FDD)</w:t>
      </w:r>
    </w:p>
    <w:p>
      <w:pPr>
        <w:pStyle w:val="40"/>
        <w:numPr>
          <w:ilvl w:val="0"/>
          <w:numId w:val="0"/>
        </w:numPr>
        <w:ind w:leftChars="0"/>
        <w:jc w:val="both"/>
        <w:rPr>
          <w:rFonts w:hint="eastAsia"/>
          <w:highlight w:val="none"/>
          <w:lang w:val="en-US" w:eastAsia="zh-CN"/>
        </w:rPr>
      </w:pPr>
      <w:bookmarkStart w:id="14" w:name="OLE_LINK6"/>
      <w:r>
        <w:rPr>
          <w:rFonts w:hint="eastAsia"/>
          <w:highlight w:val="none"/>
          <w:lang w:val="en-US" w:eastAsia="zh-CN"/>
        </w:rPr>
        <w:t xml:space="preserve">Till now there are no RF requirements for IAB-MT based on LTE RAT, in other words, we cannot guarantee LTE based on IAB-MT performance due to missing requirement. To implement legacy LTE UE together with IAB-MT based NR RAT to support inter-band EN-DC, it seems okay logically, however we think it might be not practical implementation.  </w:t>
      </w:r>
    </w:p>
    <w:p>
      <w:pPr>
        <w:pStyle w:val="40"/>
        <w:numPr>
          <w:ilvl w:val="0"/>
          <w:numId w:val="0"/>
        </w:numPr>
        <w:ind w:leftChars="0"/>
        <w:jc w:val="both"/>
        <w:rPr>
          <w:rFonts w:hint="eastAsia"/>
          <w:highlight w:val="none"/>
          <w:lang w:val="en-US" w:eastAsia="zh-CN"/>
        </w:rPr>
      </w:pPr>
      <w:r>
        <w:rPr>
          <w:rFonts w:hint="eastAsia"/>
          <w:highlight w:val="none"/>
          <w:lang w:val="en-US" w:eastAsia="zh-CN"/>
        </w:rPr>
        <w:t xml:space="preserve">Observation: there are no requirements defined for IAB-MT based on LTE RAT; </w:t>
      </w:r>
    </w:p>
    <w:p>
      <w:pPr>
        <w:pStyle w:val="40"/>
        <w:numPr>
          <w:ilvl w:val="0"/>
          <w:numId w:val="0"/>
        </w:numPr>
        <w:ind w:leftChars="0"/>
        <w:jc w:val="both"/>
        <w:rPr>
          <w:rFonts w:hint="default"/>
          <w:b/>
          <w:bCs/>
          <w:highlight w:val="none"/>
          <w:lang w:val="en-US" w:eastAsia="zh-CN"/>
        </w:rPr>
      </w:pPr>
      <w:r>
        <w:rPr>
          <w:rFonts w:hint="eastAsia"/>
          <w:b/>
          <w:bCs/>
          <w:highlight w:val="none"/>
          <w:lang w:val="en-US" w:eastAsia="zh-CN"/>
        </w:rPr>
        <w:t>Proposal 5: not supported for 2-4.</w:t>
      </w:r>
    </w:p>
    <w:p>
      <w:pPr>
        <w:pStyle w:val="40"/>
        <w:numPr>
          <w:ilvl w:val="0"/>
          <w:numId w:val="0"/>
        </w:numPr>
        <w:ind w:leftChars="0"/>
        <w:jc w:val="both"/>
        <w:rPr>
          <w:rFonts w:hint="eastAsia"/>
          <w:highlight w:val="none"/>
          <w:lang w:val="en-US" w:eastAsia="zh-CN"/>
        </w:rPr>
      </w:pPr>
    </w:p>
    <w:bookmarkEnd w:id="13"/>
    <w:bookmarkEnd w:id="14"/>
    <w:p>
      <w:pPr>
        <w:pStyle w:val="40"/>
        <w:numPr>
          <w:ilvl w:val="0"/>
          <w:numId w:val="0"/>
        </w:numPr>
        <w:ind w:leftChars="0"/>
        <w:jc w:val="both"/>
        <w:rPr>
          <w:rFonts w:hint="eastAsia"/>
          <w:highlight w:val="none"/>
          <w:lang w:val="en-US" w:eastAsia="zh-CN"/>
        </w:rPr>
      </w:pPr>
      <w:bookmarkStart w:id="15" w:name="OLE_LINK31"/>
      <w:r>
        <w:rPr>
          <w:rFonts w:hint="eastAsia"/>
          <w:highlight w:val="none"/>
          <w:lang w:val="en-US" w:eastAsia="zh-CN"/>
        </w:rPr>
        <w:t>2-5 Simultaneous reception and transmission for inter-band CA (TDD-TDD or TDD-FDD)</w:t>
      </w:r>
    </w:p>
    <w:p>
      <w:pPr>
        <w:pStyle w:val="40"/>
        <w:numPr>
          <w:ilvl w:val="0"/>
          <w:numId w:val="0"/>
        </w:numPr>
        <w:ind w:leftChars="0"/>
        <w:jc w:val="both"/>
        <w:rPr>
          <w:rFonts w:hint="eastAsia"/>
          <w:highlight w:val="none"/>
          <w:lang w:val="en-US" w:eastAsia="zh-CN"/>
        </w:rPr>
      </w:pPr>
      <w:r>
        <w:rPr>
          <w:rFonts w:hint="eastAsia"/>
          <w:highlight w:val="none"/>
          <w:lang w:val="en-US" w:eastAsia="zh-CN"/>
        </w:rPr>
        <w:t>It</w:t>
      </w:r>
      <w:r>
        <w:rPr>
          <w:rFonts w:hint="default"/>
          <w:highlight w:val="none"/>
          <w:lang w:val="en-US" w:eastAsia="zh-CN"/>
        </w:rPr>
        <w:t>’</w:t>
      </w:r>
      <w:r>
        <w:rPr>
          <w:rFonts w:hint="eastAsia"/>
          <w:highlight w:val="none"/>
          <w:lang w:val="en-US" w:eastAsia="zh-CN"/>
        </w:rPr>
        <w:t>s dependent to the inter-band EN-DC request from the operators.</w:t>
      </w:r>
    </w:p>
    <w:p>
      <w:pPr>
        <w:pStyle w:val="40"/>
        <w:numPr>
          <w:ilvl w:val="0"/>
          <w:numId w:val="0"/>
        </w:numPr>
        <w:ind w:leftChars="0"/>
        <w:jc w:val="both"/>
        <w:rPr>
          <w:rFonts w:hint="default"/>
          <w:b/>
          <w:bCs/>
          <w:highlight w:val="none"/>
          <w:lang w:val="en-US" w:eastAsia="zh-CN"/>
        </w:rPr>
      </w:pPr>
      <w:r>
        <w:rPr>
          <w:rFonts w:hint="eastAsia"/>
          <w:b/>
          <w:bCs/>
          <w:highlight w:val="none"/>
          <w:lang w:val="en-US" w:eastAsia="zh-CN"/>
        </w:rPr>
        <w:t xml:space="preserve">Proposal 6: mandatory or optional depends on the band combination  </w:t>
      </w:r>
    </w:p>
    <w:bookmarkEnd w:id="15"/>
    <w:p>
      <w:pPr>
        <w:pStyle w:val="40"/>
        <w:numPr>
          <w:ilvl w:val="0"/>
          <w:numId w:val="0"/>
        </w:numPr>
        <w:ind w:leftChars="0"/>
        <w:jc w:val="both"/>
        <w:rPr>
          <w:rFonts w:hint="eastAsia"/>
          <w:highlight w:val="none"/>
          <w:lang w:val="en-US" w:eastAsia="zh-CN"/>
        </w:rPr>
      </w:pPr>
    </w:p>
    <w:p>
      <w:pPr>
        <w:pStyle w:val="40"/>
        <w:numPr>
          <w:ilvl w:val="0"/>
          <w:numId w:val="0"/>
        </w:numPr>
        <w:ind w:leftChars="0"/>
        <w:jc w:val="both"/>
        <w:rPr>
          <w:rFonts w:hint="eastAsia"/>
          <w:highlight w:val="none"/>
          <w:lang w:val="en-US" w:eastAsia="zh-CN"/>
        </w:rPr>
      </w:pPr>
      <w:r>
        <w:rPr>
          <w:rFonts w:hint="eastAsia"/>
          <w:highlight w:val="none"/>
          <w:lang w:val="en-US" w:eastAsia="zh-CN"/>
        </w:rPr>
        <w:t xml:space="preserve">2-6 asynchronous FDD-FDD intra-band EN-DC </w:t>
      </w:r>
    </w:p>
    <w:p>
      <w:pPr>
        <w:pStyle w:val="40"/>
        <w:numPr>
          <w:ilvl w:val="0"/>
          <w:numId w:val="0"/>
        </w:numPr>
        <w:ind w:leftChars="0"/>
        <w:jc w:val="both"/>
        <w:rPr>
          <w:rFonts w:hint="eastAsia"/>
          <w:highlight w:val="none"/>
          <w:lang w:val="en-US" w:eastAsia="zh-CN"/>
        </w:rPr>
      </w:pPr>
      <w:r>
        <w:rPr>
          <w:rFonts w:hint="eastAsia"/>
          <w:highlight w:val="none"/>
          <w:lang w:val="en-US" w:eastAsia="zh-CN"/>
        </w:rPr>
        <w:t xml:space="preserve">There are no such request for IAB-MT deployment. </w:t>
      </w:r>
    </w:p>
    <w:p>
      <w:pPr>
        <w:pStyle w:val="40"/>
        <w:numPr>
          <w:ilvl w:val="0"/>
          <w:numId w:val="0"/>
        </w:numPr>
        <w:ind w:leftChars="0"/>
        <w:jc w:val="both"/>
        <w:rPr>
          <w:rFonts w:hint="default"/>
          <w:b/>
          <w:bCs/>
          <w:highlight w:val="none"/>
          <w:lang w:val="en-US" w:eastAsia="zh-CN"/>
        </w:rPr>
      </w:pPr>
      <w:r>
        <w:rPr>
          <w:rFonts w:hint="eastAsia"/>
          <w:b/>
          <w:bCs/>
          <w:highlight w:val="none"/>
          <w:lang w:val="en-US" w:eastAsia="zh-CN"/>
        </w:rPr>
        <w:t>Proposal 7: not supported for 2-6.</w:t>
      </w:r>
    </w:p>
    <w:p>
      <w:pPr>
        <w:pStyle w:val="40"/>
        <w:numPr>
          <w:ilvl w:val="0"/>
          <w:numId w:val="0"/>
        </w:numPr>
        <w:ind w:leftChars="0"/>
        <w:jc w:val="both"/>
        <w:rPr>
          <w:rFonts w:hint="eastAsia"/>
          <w:highlight w:val="none"/>
          <w:lang w:val="en-US" w:eastAsia="zh-CN"/>
        </w:rPr>
      </w:pPr>
    </w:p>
    <w:p>
      <w:pPr>
        <w:pStyle w:val="40"/>
        <w:numPr>
          <w:ilvl w:val="0"/>
          <w:numId w:val="0"/>
        </w:numPr>
        <w:ind w:leftChars="0"/>
        <w:jc w:val="both"/>
        <w:rPr>
          <w:rFonts w:hint="eastAsia"/>
          <w:highlight w:val="none"/>
          <w:lang w:val="en-US" w:eastAsia="zh-CN"/>
        </w:rPr>
      </w:pPr>
      <w:r>
        <w:rPr>
          <w:rFonts w:hint="eastAsia"/>
          <w:highlight w:val="none"/>
          <w:lang w:val="en-US" w:eastAsia="zh-CN"/>
        </w:rPr>
        <w:t>2-9 Simultaneous reception and transmission for SA SUL band combinations</w:t>
      </w:r>
    </w:p>
    <w:p>
      <w:pPr>
        <w:pStyle w:val="40"/>
        <w:numPr>
          <w:ilvl w:val="0"/>
          <w:numId w:val="0"/>
        </w:numPr>
        <w:ind w:leftChars="0"/>
        <w:jc w:val="both"/>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The motivation for SA SUL band combination is not valid for FR1 IAB-MT and it</w:t>
      </w:r>
      <w:r>
        <w:rPr>
          <w:rFonts w:hint="default" w:ascii="Times New Roman" w:hAnsi="Times New Roman" w:cs="Times New Roman"/>
          <w:highlight w:val="none"/>
          <w:lang w:val="en-US" w:eastAsia="zh-CN"/>
        </w:rPr>
        <w:t>’</w:t>
      </w:r>
      <w:r>
        <w:rPr>
          <w:rFonts w:hint="eastAsia" w:ascii="Times New Roman" w:hAnsi="Times New Roman" w:cs="Times New Roman"/>
          <w:highlight w:val="none"/>
          <w:lang w:val="en-US" w:eastAsia="zh-CN"/>
        </w:rPr>
        <w:t>s not necessary to have backhual link.</w:t>
      </w:r>
    </w:p>
    <w:p>
      <w:pPr>
        <w:pStyle w:val="40"/>
        <w:numPr>
          <w:ilvl w:val="0"/>
          <w:numId w:val="0"/>
        </w:numPr>
        <w:ind w:leftChars="0"/>
        <w:jc w:val="both"/>
        <w:rPr>
          <w:rFonts w:hint="eastAsia"/>
          <w:b/>
          <w:bCs/>
          <w:highlight w:val="none"/>
          <w:lang w:val="en-US" w:eastAsia="zh-CN"/>
        </w:rPr>
      </w:pPr>
      <w:r>
        <w:rPr>
          <w:rFonts w:hint="eastAsia"/>
          <w:b/>
          <w:bCs/>
          <w:highlight w:val="none"/>
          <w:lang w:val="en-US" w:eastAsia="zh-CN"/>
        </w:rPr>
        <w:t xml:space="preserve">Proposal 8: not supported for 2-9. </w:t>
      </w:r>
    </w:p>
    <w:p>
      <w:pPr>
        <w:pStyle w:val="40"/>
        <w:numPr>
          <w:ilvl w:val="0"/>
          <w:numId w:val="0"/>
        </w:numPr>
        <w:ind w:leftChars="0"/>
        <w:jc w:val="both"/>
        <w:rPr>
          <w:rFonts w:hint="eastAsia"/>
          <w:highlight w:val="none"/>
          <w:lang w:val="en-US" w:eastAsia="zh-CN"/>
        </w:rPr>
      </w:pPr>
    </w:p>
    <w:p>
      <w:pPr>
        <w:pStyle w:val="40"/>
        <w:numPr>
          <w:ilvl w:val="0"/>
          <w:numId w:val="0"/>
        </w:numPr>
        <w:ind w:leftChars="0"/>
        <w:jc w:val="both"/>
        <w:rPr>
          <w:rFonts w:hint="eastAsia" w:eastAsia="宋体"/>
          <w:highlight w:val="none"/>
          <w:lang w:val="en-US" w:eastAsia="zh-CN"/>
        </w:rPr>
      </w:pPr>
      <w:bookmarkStart w:id="16" w:name="OLE_LINK5"/>
      <w:r>
        <w:rPr>
          <w:rFonts w:hint="eastAsia" w:eastAsia="宋体"/>
          <w:highlight w:val="none"/>
          <w:lang w:val="en-US" w:eastAsia="zh-CN"/>
        </w:rPr>
        <w:t xml:space="preserve">2-16 PA architectures for intra-band EN-DC </w:t>
      </w:r>
    </w:p>
    <w:p>
      <w:pPr>
        <w:pStyle w:val="40"/>
        <w:numPr>
          <w:ilvl w:val="0"/>
          <w:numId w:val="0"/>
        </w:numPr>
        <w:ind w:leftChars="0"/>
        <w:jc w:val="both"/>
        <w:rPr>
          <w:rFonts w:hint="eastAsia" w:eastAsia="宋体"/>
          <w:highlight w:val="none"/>
          <w:lang w:val="en-US" w:eastAsia="zh-CN"/>
        </w:rPr>
      </w:pPr>
      <w:r>
        <w:rPr>
          <w:rFonts w:hint="eastAsia" w:eastAsia="宋体"/>
          <w:highlight w:val="none"/>
          <w:lang w:val="en-US" w:eastAsia="zh-CN"/>
        </w:rPr>
        <w:t>The capability for PA architecture for intra-band EN-DC is to inform the different A-MPR/MPR and MSD values for dual uplink and switching time between LTE UL and NR UL in single switched UL operation for intra-band non-contiguous EN-DC, however MPR/A-MPR and MSD for in IAB-MT in SA is still under discussion, it</w:t>
      </w:r>
      <w:r>
        <w:rPr>
          <w:rFonts w:hint="default" w:eastAsia="宋体"/>
          <w:highlight w:val="none"/>
          <w:lang w:val="en-US" w:eastAsia="zh-CN"/>
        </w:rPr>
        <w:t>’</w:t>
      </w:r>
      <w:r>
        <w:rPr>
          <w:rFonts w:hint="eastAsia" w:eastAsia="宋体"/>
          <w:highlight w:val="none"/>
          <w:lang w:val="en-US" w:eastAsia="zh-CN"/>
        </w:rPr>
        <w:t>s highly impossible to define the corresponding requirements for dual uplink, then it</w:t>
      </w:r>
      <w:r>
        <w:rPr>
          <w:rFonts w:hint="default" w:eastAsia="宋体"/>
          <w:highlight w:val="none"/>
          <w:lang w:val="en-US" w:eastAsia="zh-CN"/>
        </w:rPr>
        <w:t>’</w:t>
      </w:r>
      <w:r>
        <w:rPr>
          <w:rFonts w:hint="eastAsia" w:eastAsia="宋体"/>
          <w:highlight w:val="none"/>
          <w:lang w:val="en-US" w:eastAsia="zh-CN"/>
        </w:rPr>
        <w:t>s meaningless to report this capability without essential information provided for parent IAB-DU.</w:t>
      </w:r>
    </w:p>
    <w:p>
      <w:pPr>
        <w:pStyle w:val="40"/>
        <w:numPr>
          <w:ilvl w:val="0"/>
          <w:numId w:val="0"/>
        </w:numPr>
        <w:ind w:leftChars="0"/>
        <w:jc w:val="both"/>
        <w:rPr>
          <w:rFonts w:hint="eastAsia"/>
          <w:b/>
          <w:bCs/>
          <w:highlight w:val="none"/>
          <w:lang w:val="en-US" w:eastAsia="zh-CN"/>
        </w:rPr>
      </w:pPr>
      <w:r>
        <w:rPr>
          <w:rFonts w:hint="eastAsia"/>
          <w:b/>
          <w:bCs/>
          <w:highlight w:val="none"/>
          <w:lang w:val="en-US" w:eastAsia="zh-CN"/>
        </w:rPr>
        <w:t>Proposal 9: no supported if there is no corresponding RF requirement is specified.</w:t>
      </w:r>
    </w:p>
    <w:p>
      <w:pPr>
        <w:pStyle w:val="40"/>
        <w:numPr>
          <w:ilvl w:val="0"/>
          <w:numId w:val="0"/>
        </w:numPr>
        <w:ind w:leftChars="0"/>
        <w:jc w:val="both"/>
        <w:rPr>
          <w:rFonts w:hint="default" w:eastAsia="宋体"/>
          <w:highlight w:val="none"/>
          <w:lang w:val="en-US" w:eastAsia="zh-CN"/>
        </w:rPr>
      </w:pPr>
    </w:p>
    <w:p>
      <w:pPr>
        <w:pStyle w:val="40"/>
        <w:numPr>
          <w:ilvl w:val="0"/>
          <w:numId w:val="0"/>
        </w:numPr>
        <w:ind w:leftChars="0"/>
        <w:jc w:val="both"/>
        <w:rPr>
          <w:rFonts w:hint="eastAsia" w:eastAsia="宋体"/>
          <w:highlight w:val="none"/>
          <w:lang w:val="en-US" w:eastAsia="zh-CN"/>
        </w:rPr>
      </w:pPr>
      <w:r>
        <w:rPr>
          <w:rFonts w:hint="eastAsia" w:eastAsia="宋体"/>
          <w:highlight w:val="none"/>
          <w:lang w:val="en-US" w:eastAsia="zh-CN"/>
        </w:rPr>
        <w:t>2-17 PA architectures for intra-band UL CA</w:t>
      </w:r>
    </w:p>
    <w:bookmarkEnd w:id="16"/>
    <w:p>
      <w:pPr>
        <w:pStyle w:val="40"/>
        <w:jc w:val="both"/>
        <w:rPr>
          <w:rFonts w:hint="default" w:ascii="Times New Roman" w:hAnsi="Times New Roman"/>
          <w:szCs w:val="21"/>
          <w:highlight w:val="none"/>
          <w:lang w:val="en-US" w:eastAsia="zh-CN"/>
        </w:rPr>
      </w:pPr>
      <w:r>
        <w:rPr>
          <w:rFonts w:hint="eastAsia" w:ascii="Times New Roman" w:hAnsi="Times New Roman"/>
          <w:szCs w:val="21"/>
          <w:highlight w:val="none"/>
          <w:lang w:val="en-US" w:eastAsia="zh-CN"/>
        </w:rPr>
        <w:t>Similar as 2-16, it</w:t>
      </w:r>
      <w:r>
        <w:rPr>
          <w:rFonts w:hint="default" w:ascii="Times New Roman" w:hAnsi="Times New Roman"/>
          <w:szCs w:val="21"/>
          <w:highlight w:val="none"/>
          <w:lang w:val="en-US" w:eastAsia="zh-CN"/>
        </w:rPr>
        <w:t>’</w:t>
      </w:r>
      <w:r>
        <w:rPr>
          <w:rFonts w:hint="eastAsia" w:ascii="Times New Roman" w:hAnsi="Times New Roman"/>
          <w:szCs w:val="21"/>
          <w:highlight w:val="none"/>
          <w:lang w:val="en-US" w:eastAsia="zh-CN"/>
        </w:rPr>
        <w:t xml:space="preserve">s proposed not to define PA architecture for intra-band CA capability if there is no corresponding RF requirement is defined. </w:t>
      </w:r>
    </w:p>
    <w:p>
      <w:pPr>
        <w:pStyle w:val="40"/>
        <w:numPr>
          <w:ilvl w:val="0"/>
          <w:numId w:val="0"/>
        </w:numPr>
        <w:ind w:leftChars="0"/>
        <w:jc w:val="both"/>
        <w:rPr>
          <w:rFonts w:hint="eastAsia"/>
          <w:b/>
          <w:bCs/>
          <w:highlight w:val="none"/>
          <w:lang w:val="en-US" w:eastAsia="zh-CN"/>
        </w:rPr>
      </w:pPr>
      <w:r>
        <w:rPr>
          <w:rFonts w:hint="eastAsia"/>
          <w:b/>
          <w:bCs/>
          <w:highlight w:val="none"/>
          <w:lang w:val="en-US" w:eastAsia="zh-CN"/>
        </w:rPr>
        <w:t>Proposal 10: no supported if there is no corresponding RF requirement is specified.</w:t>
      </w:r>
    </w:p>
    <w:p>
      <w:pPr>
        <w:pStyle w:val="40"/>
        <w:jc w:val="both"/>
        <w:rPr>
          <w:rFonts w:hint="default" w:ascii="Times New Roman" w:hAnsi="Times New Roman"/>
          <w:szCs w:val="21"/>
          <w:highlight w:val="none"/>
          <w:lang w:val="en-US" w:eastAsia="zh-CN"/>
        </w:rPr>
      </w:pPr>
    </w:p>
    <w:p>
      <w:pPr>
        <w:pStyle w:val="40"/>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jc w:val="both"/>
        <w:textAlignment w:val="auto"/>
        <w:outlineLvl w:val="1"/>
        <w:rPr>
          <w:rFonts w:hint="eastAsia"/>
          <w:b/>
          <w:bCs/>
          <w:highlight w:val="none"/>
          <w:lang w:val="en-US" w:eastAsia="zh-CN"/>
        </w:rPr>
      </w:pPr>
      <w:r>
        <w:rPr>
          <w:rFonts w:hint="eastAsia"/>
          <w:b/>
          <w:bCs/>
          <w:highlight w:val="none"/>
          <w:lang w:val="en-US" w:eastAsia="zh-CN"/>
        </w:rPr>
        <w:t xml:space="preserve">Other remaining issues for IAB-MT feature list </w:t>
      </w:r>
    </w:p>
    <w:p>
      <w:pPr>
        <w:pStyle w:val="40"/>
        <w:jc w:val="both"/>
        <w:rPr>
          <w:rFonts w:hint="eastAsia"/>
          <w:b/>
          <w:bCs/>
          <w:highlight w:val="none"/>
          <w:lang w:val="en-US" w:eastAsia="zh-CN"/>
        </w:rPr>
      </w:pPr>
      <w:bookmarkStart w:id="17" w:name="OLE_LINK46"/>
    </w:p>
    <w:p>
      <w:pPr>
        <w:pStyle w:val="40"/>
        <w:jc w:val="both"/>
        <w:rPr>
          <w:rFonts w:hint="eastAsia"/>
          <w:lang w:val="en-US" w:eastAsia="zh-CN"/>
        </w:rPr>
      </w:pPr>
      <w:r>
        <w:rPr>
          <w:rFonts w:hint="eastAsia"/>
          <w:lang w:val="en-US" w:eastAsia="zh-CN"/>
        </w:rPr>
        <w:t>2-8 UE power class</w:t>
      </w:r>
    </w:p>
    <w:p>
      <w:pPr>
        <w:pStyle w:val="40"/>
        <w:numPr>
          <w:ilvl w:val="0"/>
          <w:numId w:val="0"/>
        </w:numPr>
        <w:ind w:leftChars="0"/>
        <w:jc w:val="both"/>
        <w:rPr>
          <w:rFonts w:hint="default"/>
          <w:highlight w:val="yellow"/>
          <w:lang w:val="en-US" w:eastAsia="zh-CN"/>
        </w:rPr>
      </w:pPr>
      <w:r>
        <w:rPr>
          <w:rFonts w:hint="eastAsia"/>
          <w:highlight w:val="none"/>
          <w:lang w:val="en-US" w:eastAsia="zh-CN"/>
        </w:rPr>
        <w:t>As IAB-MT power class should be up to the manufacturer</w:t>
      </w:r>
      <w:r>
        <w:rPr>
          <w:rFonts w:hint="default"/>
          <w:highlight w:val="none"/>
          <w:lang w:val="en-US" w:eastAsia="zh-CN"/>
        </w:rPr>
        <w:t>’</w:t>
      </w:r>
      <w:r>
        <w:rPr>
          <w:rFonts w:hint="eastAsia"/>
          <w:highlight w:val="none"/>
          <w:lang w:val="en-US" w:eastAsia="zh-CN"/>
        </w:rPr>
        <w:t>s implementation and declaration, in other words, there would be no unified IAB-MT power class which is quite different from legacy NR UE. The concerns raised by companies are whether this will have impacts on the network scheduling due to missing power class report in IAB-MT capability. For legacy network scheduling, PHR associated with power class could be used to derive maximum allowed scheduled PRB number in network if UE maximum output power is reached, updated PHR report sent from UE side could be used to further adjust scheduled PRBs of UE. The worst case is that power class of IAB-MT is unknown to parent IAB-DU, then IAB-MT PHR could be still used to guide the scheduled PRB adjustment roughly instead of precisely. If power class declaration of IAB-MT is all known to IAB-DU, then there should be no problem which is the same as legacy network.</w:t>
      </w:r>
    </w:p>
    <w:p>
      <w:pPr>
        <w:pStyle w:val="40"/>
        <w:numPr>
          <w:ilvl w:val="0"/>
          <w:numId w:val="0"/>
        </w:numPr>
        <w:ind w:leftChars="0"/>
        <w:jc w:val="both"/>
        <w:rPr>
          <w:rFonts w:hint="default"/>
          <w:highlight w:val="none"/>
          <w:lang w:val="en-US" w:eastAsia="zh-CN"/>
        </w:rPr>
      </w:pPr>
      <w:r>
        <w:rPr>
          <w:rFonts w:hint="eastAsia"/>
          <w:highlight w:val="none"/>
          <w:lang w:val="en-US" w:eastAsia="zh-CN"/>
        </w:rPr>
        <w:t xml:space="preserve">Based on the above considerations, no power class for IAB-MT is also fine for network operation. </w:t>
      </w:r>
    </w:p>
    <w:p>
      <w:pPr>
        <w:pStyle w:val="40"/>
        <w:numPr>
          <w:ilvl w:val="0"/>
          <w:numId w:val="0"/>
        </w:numPr>
        <w:ind w:leftChars="0"/>
        <w:jc w:val="both"/>
        <w:rPr>
          <w:rFonts w:hint="default"/>
          <w:b/>
          <w:bCs/>
          <w:highlight w:val="none"/>
          <w:lang w:val="en-US" w:eastAsia="zh-CN"/>
        </w:rPr>
      </w:pPr>
      <w:r>
        <w:rPr>
          <w:rFonts w:hint="eastAsia"/>
          <w:b/>
          <w:bCs/>
          <w:highlight w:val="none"/>
          <w:lang w:val="en-US" w:eastAsia="zh-CN"/>
        </w:rPr>
        <w:t>Proposal 11: no supported for 2-8.</w:t>
      </w:r>
    </w:p>
    <w:p>
      <w:pPr>
        <w:pStyle w:val="40"/>
        <w:jc w:val="both"/>
        <w:rPr>
          <w:rFonts w:hint="eastAsia"/>
          <w:lang w:val="en-US" w:eastAsia="zh-CN"/>
        </w:rPr>
      </w:pPr>
    </w:p>
    <w:p>
      <w:pPr>
        <w:pStyle w:val="40"/>
        <w:jc w:val="both"/>
        <w:rPr>
          <w:rFonts w:hint="eastAsia"/>
          <w:highlight w:val="none"/>
          <w:lang w:val="en-US" w:eastAsia="zh-CN"/>
        </w:rPr>
      </w:pPr>
      <w:r>
        <w:rPr>
          <w:rFonts w:hint="eastAsia"/>
          <w:highlight w:val="none"/>
          <w:lang w:val="en-US" w:eastAsia="zh-CN"/>
        </w:rPr>
        <w:t xml:space="preserve">2-11 Modified MPR </w:t>
      </w:r>
    </w:p>
    <w:p>
      <w:pPr>
        <w:pStyle w:val="40"/>
        <w:jc w:val="both"/>
        <w:rPr>
          <w:rFonts w:hint="eastAsia"/>
          <w:highlight w:val="none"/>
          <w:lang w:val="en-US" w:eastAsia="zh-CN"/>
        </w:rPr>
      </w:pPr>
      <w:r>
        <w:rPr>
          <w:rFonts w:hint="eastAsia"/>
          <w:highlight w:val="none"/>
          <w:lang w:val="en-US" w:eastAsia="zh-CN"/>
        </w:rPr>
        <w:t xml:space="preserve">Regarding the modified MPR introduced in the TS 36.101 Annex H from Rel-10, it was to indicate a UE supporting an MRP or A-MPR modified in given version of this specification. </w:t>
      </w:r>
    </w:p>
    <w:p>
      <w:pPr>
        <w:pStyle w:val="40"/>
        <w:jc w:val="both"/>
        <w:rPr>
          <w:rFonts w:hint="eastAsia"/>
          <w:highlight w:val="yellow"/>
          <w:lang w:val="en-US" w:eastAsia="zh-CN"/>
        </w:rPr>
      </w:pPr>
      <w:r>
        <w:rPr>
          <w:rFonts w:hint="eastAsia"/>
          <w:highlight w:val="none"/>
          <w:lang w:val="en-US" w:eastAsia="zh-CN"/>
        </w:rPr>
        <w:t>For IAB-MT, MPR or A-MPR is still under discussion which is expected to with manufacturer</w:t>
      </w:r>
      <w:r>
        <w:rPr>
          <w:rFonts w:hint="default"/>
          <w:highlight w:val="none"/>
          <w:lang w:val="en-US" w:eastAsia="zh-CN"/>
        </w:rPr>
        <w:t>’</w:t>
      </w:r>
      <w:r>
        <w:rPr>
          <w:rFonts w:hint="eastAsia"/>
          <w:highlight w:val="none"/>
          <w:lang w:val="en-US" w:eastAsia="zh-CN"/>
        </w:rPr>
        <w:t>s declaration I think, in other words, the capability cannot provide additional information to IAB-DU for link adaption and scheduling. Considering the current status of IAB discussion, modified MPR might be not necessary at this Rel-16.</w:t>
      </w:r>
    </w:p>
    <w:p>
      <w:pPr>
        <w:pStyle w:val="40"/>
        <w:numPr>
          <w:ilvl w:val="0"/>
          <w:numId w:val="0"/>
        </w:numPr>
        <w:ind w:leftChars="0"/>
        <w:jc w:val="both"/>
        <w:rPr>
          <w:rFonts w:hint="eastAsia"/>
          <w:b/>
          <w:bCs/>
          <w:highlight w:val="none"/>
          <w:lang w:val="en-US" w:eastAsia="zh-CN"/>
        </w:rPr>
      </w:pPr>
      <w:r>
        <w:rPr>
          <w:rFonts w:hint="eastAsia"/>
          <w:b/>
          <w:bCs/>
          <w:highlight w:val="none"/>
          <w:lang w:val="en-US" w:eastAsia="zh-CN"/>
        </w:rPr>
        <w:t>Proposal 12: not supported for 2-11.</w:t>
      </w:r>
    </w:p>
    <w:p>
      <w:pPr>
        <w:pStyle w:val="40"/>
        <w:jc w:val="both"/>
        <w:rPr>
          <w:rFonts w:hint="default"/>
          <w:color w:val="auto"/>
          <w:highlight w:val="yellow"/>
          <w:lang w:val="en-US" w:eastAsia="zh-CN"/>
        </w:rPr>
      </w:pPr>
    </w:p>
    <w:p>
      <w:pPr>
        <w:pStyle w:val="40"/>
        <w:jc w:val="both"/>
        <w:rPr>
          <w:rFonts w:hint="eastAsia"/>
          <w:color w:val="auto"/>
          <w:highlight w:val="none"/>
          <w:lang w:val="en-US" w:eastAsia="zh-CN"/>
        </w:rPr>
      </w:pPr>
      <w:r>
        <w:rPr>
          <w:rFonts w:hint="eastAsia"/>
          <w:color w:val="auto"/>
          <w:highlight w:val="none"/>
          <w:lang w:val="en-US" w:eastAsia="zh-CN"/>
        </w:rPr>
        <w:t>2-12 Multiple NS/P-Max</w:t>
      </w:r>
    </w:p>
    <w:p>
      <w:pPr>
        <w:pStyle w:val="40"/>
        <w:jc w:val="both"/>
        <w:rPr>
          <w:rFonts w:hint="default"/>
          <w:lang w:val="en-US" w:eastAsia="zh-CN"/>
        </w:rPr>
      </w:pPr>
      <w:r>
        <w:rPr>
          <w:rFonts w:hint="eastAsia"/>
          <w:lang w:val="en-US" w:eastAsia="zh-CN"/>
        </w:rPr>
        <w:t xml:space="preserve">Even though specific NS values for IAB-MT A-MPR is not discussed in RAN4 yet and how to signalling is also not studied, however in the R16 TS 38.331 has been captured it as optional. </w:t>
      </w:r>
    </w:p>
    <w:tbl>
      <w:tblPr>
        <w:tblStyle w:val="25"/>
        <w:tblW w:w="9869"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722"/>
        <w:gridCol w:w="658"/>
        <w:gridCol w:w="549"/>
        <w:gridCol w:w="549"/>
        <w:gridCol w:w="781"/>
        <w:gridCol w:w="61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722" w:type="dxa"/>
            <w:vAlign w:val="top"/>
          </w:tcPr>
          <w:p>
            <w:pPr>
              <w:pStyle w:val="29"/>
              <w:rPr>
                <w:b/>
                <w:bCs/>
                <w:i/>
                <w:iCs/>
                <w:color w:val="0000FF"/>
              </w:rPr>
            </w:pPr>
            <w:r>
              <w:rPr>
                <w:b/>
                <w:bCs/>
                <w:i/>
                <w:iCs/>
                <w:color w:val="0000FF"/>
              </w:rPr>
              <w:t>multipleNS-And-Pmax-IAB-r16</w:t>
            </w:r>
          </w:p>
          <w:p>
            <w:pPr>
              <w:pStyle w:val="29"/>
              <w:rPr>
                <w:b/>
                <w:bCs/>
                <w:i/>
                <w:iCs/>
              </w:rPr>
            </w:pPr>
            <w:r>
              <w:rPr>
                <w:color w:val="0000FF"/>
              </w:rPr>
              <w:t>Indicates whether the IAB-MT supports multiple NS/P-Max.</w:t>
            </w:r>
          </w:p>
        </w:tc>
        <w:tc>
          <w:tcPr>
            <w:tcW w:w="658" w:type="dxa"/>
            <w:vAlign w:val="top"/>
          </w:tcPr>
          <w:p>
            <w:pPr>
              <w:pStyle w:val="29"/>
              <w:jc w:val="center"/>
              <w:rPr>
                <w:bCs/>
                <w:lang w:eastAsia="ja-JP"/>
              </w:rPr>
            </w:pPr>
            <w:r>
              <w:rPr>
                <w:bCs/>
                <w:lang w:eastAsia="ja-JP"/>
              </w:rPr>
              <w:t>IAB-MT</w:t>
            </w:r>
          </w:p>
        </w:tc>
        <w:tc>
          <w:tcPr>
            <w:tcW w:w="549" w:type="dxa"/>
            <w:vAlign w:val="top"/>
          </w:tcPr>
          <w:p>
            <w:pPr>
              <w:pStyle w:val="29"/>
              <w:jc w:val="center"/>
              <w:rPr>
                <w:bCs/>
                <w:lang w:eastAsia="ja-JP"/>
              </w:rPr>
            </w:pPr>
          </w:p>
        </w:tc>
        <w:tc>
          <w:tcPr>
            <w:tcW w:w="549" w:type="dxa"/>
            <w:vAlign w:val="top"/>
          </w:tcPr>
          <w:p>
            <w:pPr>
              <w:pStyle w:val="29"/>
              <w:jc w:val="center"/>
              <w:rPr>
                <w:bCs/>
                <w:lang w:eastAsia="ja-JP"/>
              </w:rPr>
            </w:pPr>
            <w:r>
              <w:rPr>
                <w:bCs/>
                <w:lang w:eastAsia="ja-JP"/>
              </w:rPr>
              <w:t>No</w:t>
            </w:r>
          </w:p>
        </w:tc>
        <w:tc>
          <w:tcPr>
            <w:tcW w:w="781" w:type="dxa"/>
            <w:vAlign w:val="top"/>
          </w:tcPr>
          <w:p>
            <w:pPr>
              <w:pStyle w:val="29"/>
              <w:jc w:val="center"/>
              <w:rPr>
                <w:bCs/>
                <w:lang w:eastAsia="ja-JP"/>
              </w:rPr>
            </w:pPr>
            <w:r>
              <w:rPr>
                <w:bCs/>
                <w:lang w:eastAsia="ja-JP"/>
              </w:rPr>
              <w:t>No</w:t>
            </w:r>
          </w:p>
        </w:tc>
        <w:tc>
          <w:tcPr>
            <w:tcW w:w="610" w:type="dxa"/>
            <w:vAlign w:val="top"/>
          </w:tcPr>
          <w:p>
            <w:pPr>
              <w:pStyle w:val="29"/>
              <w:jc w:val="center"/>
              <w:rPr>
                <w:bCs/>
                <w:lang w:eastAsia="ja-JP"/>
              </w:rPr>
            </w:pPr>
            <w:r>
              <w:rPr>
                <w:bCs/>
                <w:lang w:eastAsia="ja-JP"/>
              </w:rPr>
              <w:t>No</w:t>
            </w:r>
          </w:p>
        </w:tc>
      </w:tr>
    </w:tbl>
    <w:p>
      <w:pPr>
        <w:pStyle w:val="40"/>
        <w:numPr>
          <w:ilvl w:val="0"/>
          <w:numId w:val="0"/>
        </w:numPr>
        <w:ind w:leftChars="0"/>
        <w:jc w:val="both"/>
        <w:rPr>
          <w:rFonts w:hint="eastAsia"/>
          <w:b/>
          <w:bCs/>
          <w:highlight w:val="none"/>
          <w:lang w:val="en-US" w:eastAsia="zh-CN"/>
        </w:rPr>
      </w:pPr>
      <w:r>
        <w:rPr>
          <w:rFonts w:hint="eastAsia"/>
          <w:b/>
          <w:bCs/>
          <w:highlight w:val="none"/>
          <w:lang w:val="en-US" w:eastAsia="zh-CN"/>
        </w:rPr>
        <w:t xml:space="preserve"> Proposal 13: optional for 2-12</w:t>
      </w:r>
    </w:p>
    <w:p>
      <w:pPr>
        <w:pStyle w:val="40"/>
        <w:jc w:val="both"/>
        <w:rPr>
          <w:rFonts w:hint="default"/>
          <w:lang w:val="en-US" w:eastAsia="zh-CN"/>
        </w:rPr>
      </w:pPr>
    </w:p>
    <w:p>
      <w:pPr>
        <w:pStyle w:val="40"/>
        <w:jc w:val="both"/>
        <w:rPr>
          <w:rFonts w:hint="eastAsia"/>
          <w:lang w:val="en-US" w:eastAsia="zh-CN"/>
        </w:rPr>
      </w:pPr>
      <w:r>
        <w:rPr>
          <w:rFonts w:hint="eastAsia"/>
          <w:lang w:val="en-US" w:eastAsia="zh-CN"/>
        </w:rPr>
        <w:t>3-1 Independent measurement gap configurations for FR1 and FR2</w:t>
      </w:r>
    </w:p>
    <w:p>
      <w:pPr>
        <w:pStyle w:val="40"/>
        <w:jc w:val="both"/>
        <w:rPr>
          <w:rFonts w:hint="eastAsia"/>
          <w:lang w:val="en-US" w:eastAsia="zh-CN"/>
        </w:rPr>
      </w:pPr>
      <w:r>
        <w:rPr>
          <w:rFonts w:hint="eastAsia"/>
          <w:lang w:val="en-US" w:eastAsia="zh-CN"/>
        </w:rPr>
        <w:t>For IAB-MT, there should be no inter-freq measurement, therefore short measurement gap is also not supported.</w:t>
      </w:r>
    </w:p>
    <w:p>
      <w:pPr>
        <w:pStyle w:val="40"/>
        <w:jc w:val="both"/>
        <w:rPr>
          <w:rFonts w:hint="default"/>
          <w:lang w:val="en-US" w:eastAsia="zh-CN"/>
        </w:rPr>
      </w:pPr>
      <w:bookmarkStart w:id="18" w:name="OLE_LINK44"/>
      <w:r>
        <w:rPr>
          <w:rFonts w:hint="eastAsia"/>
          <w:b/>
          <w:bCs/>
          <w:highlight w:val="none"/>
          <w:lang w:val="en-US" w:eastAsia="zh-CN"/>
        </w:rPr>
        <w:t>Proposal 14: not support</w:t>
      </w:r>
      <w:bookmarkEnd w:id="18"/>
      <w:r>
        <w:rPr>
          <w:rFonts w:hint="eastAsia"/>
          <w:b/>
          <w:bCs/>
          <w:highlight w:val="none"/>
          <w:lang w:val="en-US" w:eastAsia="zh-CN"/>
        </w:rPr>
        <w:t>ed for 3-1</w:t>
      </w:r>
    </w:p>
    <w:p>
      <w:pPr>
        <w:pStyle w:val="40"/>
        <w:jc w:val="both"/>
        <w:rPr>
          <w:rFonts w:hint="eastAsia"/>
          <w:lang w:val="en-US" w:eastAsia="zh-CN"/>
        </w:rPr>
      </w:pPr>
      <w:r>
        <w:rPr>
          <w:rFonts w:hint="eastAsia"/>
          <w:lang w:val="en-US" w:eastAsia="zh-CN"/>
        </w:rPr>
        <w:t>3-2 Simultaneous reception of data and SS block with different numerologies when UE conducts the serving cell measurement or intra-frequency measurement</w:t>
      </w:r>
    </w:p>
    <w:p>
      <w:pPr>
        <w:pStyle w:val="40"/>
        <w:jc w:val="both"/>
        <w:rPr>
          <w:rFonts w:hint="default"/>
          <w:lang w:val="en-US" w:eastAsia="zh-CN"/>
        </w:rPr>
      </w:pPr>
      <w:bookmarkStart w:id="19" w:name="OLE_LINK45"/>
      <w:r>
        <w:rPr>
          <w:rFonts w:hint="eastAsia"/>
          <w:b/>
          <w:bCs/>
          <w:highlight w:val="none"/>
          <w:lang w:val="en-US" w:eastAsia="zh-CN"/>
        </w:rPr>
        <w:t xml:space="preserve">Proposal 15: Optional for </w:t>
      </w:r>
      <w:bookmarkEnd w:id="19"/>
      <w:r>
        <w:rPr>
          <w:rFonts w:hint="eastAsia"/>
          <w:b/>
          <w:bCs/>
          <w:highlight w:val="none"/>
          <w:lang w:val="en-US" w:eastAsia="zh-CN"/>
        </w:rPr>
        <w:t>3-2</w:t>
      </w:r>
    </w:p>
    <w:p>
      <w:pPr>
        <w:pStyle w:val="40"/>
        <w:jc w:val="both"/>
        <w:rPr>
          <w:rFonts w:hint="eastAsia"/>
          <w:lang w:val="en-US" w:eastAsia="zh-CN"/>
        </w:rPr>
      </w:pPr>
      <w:r>
        <w:rPr>
          <w:rFonts w:hint="eastAsia"/>
          <w:lang w:val="en-US" w:eastAsia="zh-CN"/>
        </w:rPr>
        <w:t>3-3 Short measurement gap</w:t>
      </w:r>
    </w:p>
    <w:p>
      <w:pPr>
        <w:pStyle w:val="40"/>
        <w:jc w:val="both"/>
        <w:rPr>
          <w:rFonts w:hint="default"/>
          <w:lang w:val="en-US" w:eastAsia="zh-CN"/>
        </w:rPr>
      </w:pPr>
      <w:bookmarkStart w:id="20" w:name="OLE_LINK37"/>
      <w:r>
        <w:rPr>
          <w:rFonts w:hint="eastAsia"/>
          <w:lang w:val="en-US" w:eastAsia="zh-CN"/>
        </w:rPr>
        <w:t>For IAB-MT, it is supposed to have relative stable link connection on IAB-DU/NR RAT instead of handover to LTE RAT, therefore it</w:t>
      </w:r>
      <w:r>
        <w:rPr>
          <w:rFonts w:hint="default"/>
          <w:lang w:val="en-US" w:eastAsia="zh-CN"/>
        </w:rPr>
        <w:t>’</w:t>
      </w:r>
      <w:r>
        <w:rPr>
          <w:rFonts w:hint="eastAsia"/>
          <w:lang w:val="en-US" w:eastAsia="zh-CN"/>
        </w:rPr>
        <w:t xml:space="preserve">s not necessary to support short measurement gap pattern#2 and #3 in NR standalone operation for LTE measurement. </w:t>
      </w:r>
    </w:p>
    <w:bookmarkEnd w:id="20"/>
    <w:p>
      <w:pPr>
        <w:pStyle w:val="40"/>
        <w:jc w:val="both"/>
        <w:rPr>
          <w:rFonts w:hint="default"/>
          <w:highlight w:val="none"/>
          <w:lang w:val="en-US" w:eastAsia="zh-CN"/>
        </w:rPr>
      </w:pPr>
      <w:r>
        <w:rPr>
          <w:rFonts w:hint="eastAsia"/>
          <w:b/>
          <w:bCs/>
          <w:highlight w:val="none"/>
          <w:lang w:val="en-US" w:eastAsia="zh-CN"/>
        </w:rPr>
        <w:t>Proposal 16: not supported for 3-3</w:t>
      </w:r>
    </w:p>
    <w:bookmarkEnd w:id="3"/>
    <w:bookmarkEnd w:id="4"/>
    <w:bookmarkEnd w:id="17"/>
    <w:p>
      <w:pPr>
        <w:pStyle w:val="32"/>
        <w:tabs>
          <w:tab w:val="left" w:pos="567"/>
          <w:tab w:val="clear" w:pos="1985"/>
        </w:tabs>
        <w:adjustRightInd w:val="0"/>
        <w:ind w:left="510" w:hanging="510"/>
        <w:rPr>
          <w:rFonts w:hint="eastAsia" w:ascii="Arial" w:hAnsi="Arial"/>
          <w:highlight w:val="none"/>
        </w:rPr>
      </w:pPr>
      <w:r>
        <w:rPr>
          <w:rFonts w:ascii="Arial" w:hAnsi="Arial"/>
          <w:highlight w:val="none"/>
        </w:rPr>
        <w:t>Conclusions</w:t>
      </w:r>
    </w:p>
    <w:p>
      <w:pPr>
        <w:pStyle w:val="35"/>
        <w:rPr>
          <w:rFonts w:hint="eastAsia" w:ascii="Times New Roman" w:hAnsi="Times New Roman"/>
          <w:highlight w:val="none"/>
        </w:rPr>
      </w:pPr>
      <w:r>
        <w:rPr>
          <w:rFonts w:ascii="Times New Roman" w:hAnsi="Times New Roman"/>
          <w:highlight w:val="none"/>
        </w:rPr>
        <w:t>In this contribution, we share</w:t>
      </w:r>
      <w:r>
        <w:rPr>
          <w:rFonts w:hint="eastAsia" w:ascii="Times New Roman" w:hAnsi="Times New Roman"/>
          <w:highlight w:val="none"/>
        </w:rPr>
        <w:t xml:space="preserve">d some </w:t>
      </w:r>
      <w:r>
        <w:rPr>
          <w:rFonts w:hint="eastAsia" w:ascii="Times New Roman" w:hAnsi="Times New Roman"/>
          <w:highlight w:val="none"/>
          <w:lang w:val="en-US" w:eastAsia="zh-CN"/>
        </w:rPr>
        <w:t>initial</w:t>
      </w:r>
      <w:r>
        <w:rPr>
          <w:rFonts w:hint="eastAsia" w:ascii="Times New Roman" w:hAnsi="Times New Roman"/>
          <w:highlight w:val="none"/>
        </w:rPr>
        <w:t xml:space="preserve"> inputs on </w:t>
      </w:r>
      <w:r>
        <w:rPr>
          <w:rFonts w:hint="eastAsia" w:ascii="Times New Roman" w:hAnsi="Times New Roman"/>
          <w:highlight w:val="none"/>
          <w:lang w:val="en-US" w:eastAsia="zh-CN"/>
        </w:rPr>
        <w:t>IAB MT feature list</w:t>
      </w:r>
      <w:r>
        <w:rPr>
          <w:rFonts w:hint="eastAsia" w:ascii="Times New Roman" w:hAnsi="Times New Roman"/>
          <w:highlight w:val="none"/>
        </w:rPr>
        <w:t xml:space="preserve"> and proposals are</w:t>
      </w:r>
      <w:r>
        <w:rPr>
          <w:rFonts w:hint="eastAsia" w:ascii="Times New Roman" w:hAnsi="Times New Roman"/>
          <w:highlight w:val="none"/>
          <w:lang w:val="en-US" w:eastAsia="zh-CN"/>
        </w:rPr>
        <w:t xml:space="preserve"> summarized as following</w:t>
      </w:r>
      <w:r>
        <w:rPr>
          <w:rFonts w:hint="eastAsia" w:ascii="Times New Roman" w:hAnsi="Times New Roman"/>
          <w:highlight w:val="none"/>
        </w:rPr>
        <w:t>:</w:t>
      </w:r>
    </w:p>
    <w:tbl>
      <w:tblPr>
        <w:tblStyle w:val="2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3320"/>
        <w:gridCol w:w="6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320" w:type="dxa"/>
            <w:vAlign w:val="top"/>
          </w:tcPr>
          <w:p>
            <w:pPr>
              <w:pStyle w:val="40"/>
              <w:numPr>
                <w:ilvl w:val="0"/>
                <w:numId w:val="0"/>
              </w:numPr>
              <w:ind w:leftChars="0"/>
              <w:jc w:val="both"/>
              <w:rPr>
                <w:rFonts w:hint="eastAsia" w:ascii="Times New Roman" w:hAnsi="Times New Roman" w:cs="Times New Roman"/>
                <w:b/>
                <w:bCs/>
                <w:highlight w:val="none"/>
                <w:vertAlign w:val="baseline"/>
                <w:lang w:val="en-US" w:eastAsia="zh-CN"/>
              </w:rPr>
            </w:pPr>
            <w:r>
              <w:rPr>
                <w:rFonts w:hint="eastAsia"/>
                <w:highlight w:val="none"/>
                <w:lang w:val="en-US" w:eastAsia="zh-CN"/>
              </w:rPr>
              <w:t>1-9</w:t>
            </w:r>
          </w:p>
        </w:tc>
        <w:tc>
          <w:tcPr>
            <w:tcW w:w="6642" w:type="dxa"/>
            <w:vAlign w:val="top"/>
          </w:tcPr>
          <w:p>
            <w:pPr>
              <w:pStyle w:val="40"/>
              <w:numPr>
                <w:ilvl w:val="0"/>
                <w:numId w:val="0"/>
              </w:numPr>
              <w:ind w:leftChars="0"/>
              <w:jc w:val="both"/>
              <w:rPr>
                <w:rFonts w:hint="eastAsia" w:ascii="Times New Roman" w:hAnsi="Times New Roman" w:cs="Times New Roman"/>
                <w:b/>
                <w:bCs/>
                <w:highlight w:val="none"/>
                <w:vertAlign w:val="baseline"/>
                <w:lang w:val="en-US" w:eastAsia="zh-CN"/>
              </w:rPr>
            </w:pPr>
            <w:r>
              <w:rPr>
                <w:rFonts w:hint="eastAsia" w:ascii="Times New Roman" w:hAnsi="Times New Roman" w:cs="Times New Roman"/>
                <w:b/>
                <w:bCs/>
                <w:highlight w:val="none"/>
                <w:lang w:val="en-US" w:eastAsia="zh-CN"/>
              </w:rPr>
              <w:t>Proposal 1: not supported for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320" w:type="dxa"/>
            <w:vAlign w:val="top"/>
          </w:tcPr>
          <w:p>
            <w:pPr>
              <w:pStyle w:val="40"/>
              <w:numPr>
                <w:ilvl w:val="0"/>
                <w:numId w:val="0"/>
              </w:numPr>
              <w:jc w:val="both"/>
              <w:rPr>
                <w:rFonts w:hint="eastAsia" w:ascii="Times New Roman" w:hAnsi="Times New Roman" w:cs="Times New Roman"/>
                <w:b/>
                <w:bCs/>
                <w:highlight w:val="none"/>
                <w:vertAlign w:val="baseline"/>
                <w:lang w:val="en-US" w:eastAsia="zh-CN"/>
              </w:rPr>
            </w:pPr>
            <w:r>
              <w:rPr>
                <w:rFonts w:hint="eastAsia"/>
                <w:highlight w:val="none"/>
                <w:lang w:val="en-US" w:eastAsia="zh-CN"/>
              </w:rPr>
              <w:t>1-10</w:t>
            </w:r>
          </w:p>
        </w:tc>
        <w:tc>
          <w:tcPr>
            <w:tcW w:w="6642" w:type="dxa"/>
            <w:vAlign w:val="top"/>
          </w:tcPr>
          <w:p>
            <w:pPr>
              <w:pStyle w:val="40"/>
              <w:numPr>
                <w:ilvl w:val="0"/>
                <w:numId w:val="0"/>
              </w:numPr>
              <w:ind w:leftChars="0"/>
              <w:jc w:val="both"/>
              <w:rPr>
                <w:rFonts w:hint="eastAsia" w:ascii="Times New Roman" w:hAnsi="Times New Roman" w:cs="Times New Roman"/>
                <w:b/>
                <w:bCs/>
                <w:highlight w:val="none"/>
                <w:vertAlign w:val="baseline"/>
                <w:lang w:val="en-US" w:eastAsia="zh-CN"/>
              </w:rPr>
            </w:pPr>
            <w:r>
              <w:rPr>
                <w:rFonts w:hint="eastAsia" w:ascii="Times New Roman" w:hAnsi="Times New Roman" w:cs="Times New Roman"/>
                <w:b/>
                <w:bCs/>
                <w:highlight w:val="none"/>
                <w:lang w:val="en-US" w:eastAsia="zh-CN"/>
              </w:rPr>
              <w:t>Proposal 2: not supported for 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320" w:type="dxa"/>
            <w:vAlign w:val="top"/>
          </w:tcPr>
          <w:p>
            <w:pPr>
              <w:pStyle w:val="40"/>
              <w:numPr>
                <w:ilvl w:val="0"/>
                <w:numId w:val="0"/>
              </w:numPr>
              <w:jc w:val="both"/>
              <w:rPr>
                <w:rFonts w:hint="eastAsia" w:ascii="Times New Roman" w:hAnsi="Times New Roman" w:cs="Times New Roman"/>
                <w:b/>
                <w:bCs/>
                <w:highlight w:val="none"/>
                <w:vertAlign w:val="baseline"/>
                <w:lang w:val="en-US" w:eastAsia="zh-CN"/>
              </w:rPr>
            </w:pPr>
            <w:r>
              <w:rPr>
                <w:rFonts w:hint="eastAsia"/>
                <w:highlight w:val="none"/>
                <w:lang w:val="en-US" w:eastAsia="zh-CN"/>
              </w:rPr>
              <w:t>2-2</w:t>
            </w:r>
          </w:p>
        </w:tc>
        <w:tc>
          <w:tcPr>
            <w:tcW w:w="6642" w:type="dxa"/>
            <w:vAlign w:val="top"/>
          </w:tcPr>
          <w:p>
            <w:pPr>
              <w:pStyle w:val="40"/>
              <w:numPr>
                <w:ilvl w:val="0"/>
                <w:numId w:val="0"/>
              </w:numPr>
              <w:ind w:leftChars="0"/>
              <w:jc w:val="both"/>
              <w:rPr>
                <w:rFonts w:hint="eastAsia" w:ascii="Times New Roman" w:hAnsi="Times New Roman" w:cs="Times New Roman"/>
                <w:b/>
                <w:bCs/>
                <w:highlight w:val="none"/>
                <w:vertAlign w:val="baseline"/>
                <w:lang w:val="en-US" w:eastAsia="zh-CN"/>
              </w:rPr>
            </w:pPr>
            <w:r>
              <w:rPr>
                <w:rFonts w:hint="eastAsia"/>
                <w:b/>
                <w:bCs/>
                <w:highlight w:val="none"/>
                <w:lang w:val="en-US" w:eastAsia="zh-CN"/>
              </w:rPr>
              <w:t>Proposal 3: optional for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75" w:hRule="atLeast"/>
        </w:trPr>
        <w:tc>
          <w:tcPr>
            <w:tcW w:w="3320" w:type="dxa"/>
            <w:vAlign w:val="top"/>
          </w:tcPr>
          <w:p>
            <w:pPr>
              <w:pStyle w:val="40"/>
              <w:numPr>
                <w:ilvl w:val="0"/>
                <w:numId w:val="0"/>
              </w:numPr>
              <w:jc w:val="both"/>
              <w:rPr>
                <w:rFonts w:hint="eastAsia" w:ascii="Times New Roman" w:hAnsi="Times New Roman" w:cs="Times New Roman"/>
                <w:b/>
                <w:bCs/>
                <w:highlight w:val="none"/>
                <w:vertAlign w:val="baseline"/>
                <w:lang w:val="en-US" w:eastAsia="zh-CN"/>
              </w:rPr>
            </w:pPr>
            <w:r>
              <w:rPr>
                <w:rFonts w:hint="eastAsia"/>
                <w:highlight w:val="none"/>
                <w:lang w:val="en-US" w:eastAsia="zh-CN"/>
              </w:rPr>
              <w:t>2-3</w:t>
            </w:r>
          </w:p>
        </w:tc>
        <w:tc>
          <w:tcPr>
            <w:tcW w:w="6642" w:type="dxa"/>
            <w:vAlign w:val="top"/>
          </w:tcPr>
          <w:p>
            <w:pPr>
              <w:pStyle w:val="40"/>
              <w:numPr>
                <w:ilvl w:val="0"/>
                <w:numId w:val="0"/>
              </w:numPr>
              <w:ind w:leftChars="0"/>
              <w:jc w:val="both"/>
              <w:rPr>
                <w:rFonts w:hint="eastAsia" w:ascii="Times New Roman" w:hAnsi="Times New Roman" w:cs="Times New Roman"/>
                <w:b/>
                <w:bCs/>
                <w:highlight w:val="none"/>
                <w:vertAlign w:val="baseline"/>
                <w:lang w:val="en-US" w:eastAsia="zh-CN"/>
              </w:rPr>
            </w:pPr>
            <w:r>
              <w:rPr>
                <w:rFonts w:hint="eastAsia"/>
                <w:b/>
                <w:bCs/>
                <w:highlight w:val="none"/>
                <w:lang w:val="en-US" w:eastAsia="zh-CN"/>
              </w:rPr>
              <w:t xml:space="preserve">Proposal 4: not supported for 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320" w:type="dxa"/>
            <w:vAlign w:val="top"/>
          </w:tcPr>
          <w:p>
            <w:pPr>
              <w:pStyle w:val="40"/>
              <w:numPr>
                <w:ilvl w:val="0"/>
                <w:numId w:val="0"/>
              </w:numPr>
              <w:jc w:val="both"/>
              <w:rPr>
                <w:rFonts w:hint="eastAsia" w:ascii="Times New Roman" w:hAnsi="Times New Roman" w:cs="Times New Roman"/>
                <w:b/>
                <w:bCs/>
                <w:highlight w:val="none"/>
                <w:vertAlign w:val="baseline"/>
                <w:lang w:val="en-US" w:eastAsia="zh-CN"/>
              </w:rPr>
            </w:pPr>
            <w:r>
              <w:rPr>
                <w:rFonts w:hint="eastAsia"/>
                <w:highlight w:val="none"/>
                <w:lang w:val="en-US" w:eastAsia="zh-CN"/>
              </w:rPr>
              <w:t>2-4</w:t>
            </w:r>
          </w:p>
        </w:tc>
        <w:tc>
          <w:tcPr>
            <w:tcW w:w="6642" w:type="dxa"/>
            <w:vAlign w:val="top"/>
          </w:tcPr>
          <w:p>
            <w:pPr>
              <w:pStyle w:val="40"/>
              <w:numPr>
                <w:ilvl w:val="0"/>
                <w:numId w:val="0"/>
              </w:numPr>
              <w:ind w:leftChars="0"/>
              <w:jc w:val="both"/>
              <w:rPr>
                <w:rFonts w:hint="eastAsia" w:ascii="Times New Roman" w:hAnsi="Times New Roman" w:cs="Times New Roman"/>
                <w:b/>
                <w:bCs/>
                <w:highlight w:val="none"/>
                <w:vertAlign w:val="baseline"/>
                <w:lang w:val="en-US" w:eastAsia="zh-CN"/>
              </w:rPr>
            </w:pPr>
            <w:r>
              <w:rPr>
                <w:rFonts w:hint="eastAsia"/>
                <w:b/>
                <w:bCs/>
                <w:highlight w:val="none"/>
                <w:lang w:val="en-US" w:eastAsia="zh-CN"/>
              </w:rPr>
              <w:t>Proposal 5: not supported for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320" w:type="dxa"/>
            <w:vAlign w:val="top"/>
          </w:tcPr>
          <w:p>
            <w:pPr>
              <w:pStyle w:val="40"/>
              <w:numPr>
                <w:ilvl w:val="0"/>
                <w:numId w:val="0"/>
              </w:numPr>
              <w:jc w:val="both"/>
              <w:rPr>
                <w:rFonts w:hint="eastAsia" w:ascii="Times New Roman" w:hAnsi="Times New Roman" w:cs="Times New Roman"/>
                <w:b/>
                <w:bCs/>
                <w:highlight w:val="none"/>
                <w:vertAlign w:val="baseline"/>
                <w:lang w:val="en-US" w:eastAsia="zh-CN"/>
              </w:rPr>
            </w:pPr>
            <w:r>
              <w:rPr>
                <w:rFonts w:hint="eastAsia"/>
                <w:highlight w:val="none"/>
                <w:lang w:val="en-US" w:eastAsia="zh-CN"/>
              </w:rPr>
              <w:t>2-5</w:t>
            </w:r>
          </w:p>
        </w:tc>
        <w:tc>
          <w:tcPr>
            <w:tcW w:w="6642" w:type="dxa"/>
            <w:vAlign w:val="top"/>
          </w:tcPr>
          <w:p>
            <w:pPr>
              <w:pStyle w:val="40"/>
              <w:numPr>
                <w:ilvl w:val="0"/>
                <w:numId w:val="0"/>
              </w:numPr>
              <w:ind w:leftChars="0"/>
              <w:jc w:val="both"/>
              <w:rPr>
                <w:rFonts w:hint="eastAsia" w:ascii="Times New Roman" w:hAnsi="Times New Roman" w:cs="Times New Roman"/>
                <w:b/>
                <w:bCs/>
                <w:highlight w:val="none"/>
                <w:vertAlign w:val="baseline"/>
                <w:lang w:val="en-US" w:eastAsia="zh-CN"/>
              </w:rPr>
            </w:pPr>
            <w:r>
              <w:rPr>
                <w:rFonts w:hint="eastAsia"/>
                <w:b/>
                <w:bCs/>
                <w:highlight w:val="none"/>
                <w:lang w:val="en-US" w:eastAsia="zh-CN"/>
              </w:rPr>
              <w:t xml:space="preserve">Proposal 6: mandatory or optional depends on the band combination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320" w:type="dxa"/>
            <w:vAlign w:val="top"/>
          </w:tcPr>
          <w:p>
            <w:pPr>
              <w:pStyle w:val="40"/>
              <w:numPr>
                <w:ilvl w:val="0"/>
                <w:numId w:val="0"/>
              </w:numPr>
              <w:jc w:val="both"/>
              <w:rPr>
                <w:rFonts w:hint="eastAsia" w:ascii="Times New Roman" w:hAnsi="Times New Roman" w:cs="Times New Roman"/>
                <w:b/>
                <w:bCs/>
                <w:highlight w:val="none"/>
                <w:vertAlign w:val="baseline"/>
                <w:lang w:val="en-US" w:eastAsia="zh-CN"/>
              </w:rPr>
            </w:pPr>
            <w:r>
              <w:rPr>
                <w:rFonts w:hint="eastAsia"/>
                <w:highlight w:val="none"/>
                <w:lang w:val="en-US" w:eastAsia="zh-CN"/>
              </w:rPr>
              <w:t>2-9</w:t>
            </w:r>
          </w:p>
        </w:tc>
        <w:tc>
          <w:tcPr>
            <w:tcW w:w="6642" w:type="dxa"/>
            <w:vAlign w:val="top"/>
          </w:tcPr>
          <w:p>
            <w:pPr>
              <w:pStyle w:val="40"/>
              <w:numPr>
                <w:ilvl w:val="0"/>
                <w:numId w:val="0"/>
              </w:numPr>
              <w:jc w:val="both"/>
              <w:rPr>
                <w:rFonts w:hint="eastAsia" w:ascii="Times New Roman" w:hAnsi="Times New Roman" w:cs="Times New Roman"/>
                <w:b/>
                <w:bCs/>
                <w:highlight w:val="none"/>
                <w:vertAlign w:val="baseline"/>
                <w:lang w:val="en-US" w:eastAsia="zh-CN"/>
              </w:rPr>
            </w:pPr>
            <w:r>
              <w:rPr>
                <w:rFonts w:hint="eastAsia"/>
                <w:b/>
                <w:bCs/>
                <w:highlight w:val="none"/>
                <w:lang w:val="en-US" w:eastAsia="zh-CN"/>
              </w:rPr>
              <w:t>Proposal 8: not supported for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320" w:type="dxa"/>
            <w:vAlign w:val="top"/>
          </w:tcPr>
          <w:p>
            <w:pPr>
              <w:pStyle w:val="40"/>
              <w:numPr>
                <w:ilvl w:val="0"/>
                <w:numId w:val="0"/>
              </w:numPr>
              <w:jc w:val="both"/>
              <w:rPr>
                <w:rFonts w:hint="eastAsia" w:ascii="Times New Roman" w:hAnsi="Times New Roman" w:cs="Times New Roman"/>
                <w:b/>
                <w:bCs/>
                <w:highlight w:val="none"/>
                <w:vertAlign w:val="baseline"/>
                <w:lang w:val="en-US" w:eastAsia="zh-CN"/>
              </w:rPr>
            </w:pPr>
            <w:r>
              <w:rPr>
                <w:rFonts w:hint="eastAsia" w:eastAsia="宋体"/>
                <w:highlight w:val="none"/>
                <w:lang w:val="en-US" w:eastAsia="zh-CN"/>
              </w:rPr>
              <w:t>2-16</w:t>
            </w:r>
          </w:p>
        </w:tc>
        <w:tc>
          <w:tcPr>
            <w:tcW w:w="6642" w:type="dxa"/>
            <w:vAlign w:val="top"/>
          </w:tcPr>
          <w:p>
            <w:pPr>
              <w:pStyle w:val="40"/>
              <w:numPr>
                <w:ilvl w:val="0"/>
                <w:numId w:val="0"/>
              </w:numPr>
              <w:ind w:leftChars="0"/>
              <w:jc w:val="both"/>
              <w:rPr>
                <w:rFonts w:hint="eastAsia" w:ascii="Times New Roman" w:hAnsi="Times New Roman" w:cs="Times New Roman"/>
                <w:b/>
                <w:bCs/>
                <w:highlight w:val="none"/>
                <w:vertAlign w:val="baseline"/>
                <w:lang w:val="en-US" w:eastAsia="zh-CN"/>
              </w:rPr>
            </w:pPr>
            <w:r>
              <w:rPr>
                <w:rFonts w:hint="eastAsia"/>
                <w:b/>
                <w:bCs/>
                <w:highlight w:val="none"/>
                <w:lang w:val="en-US" w:eastAsia="zh-CN"/>
              </w:rPr>
              <w:t>Proposal 9: no supported if there is no corresponding RF requirement is specified.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320" w:type="dxa"/>
            <w:vAlign w:val="top"/>
          </w:tcPr>
          <w:p>
            <w:pPr>
              <w:pStyle w:val="40"/>
              <w:numPr>
                <w:ilvl w:val="0"/>
                <w:numId w:val="0"/>
              </w:numPr>
              <w:jc w:val="both"/>
              <w:rPr>
                <w:rFonts w:hint="eastAsia" w:ascii="Times New Roman" w:hAnsi="Times New Roman" w:cs="Times New Roman"/>
                <w:b/>
                <w:bCs/>
                <w:highlight w:val="none"/>
                <w:vertAlign w:val="baseline"/>
                <w:lang w:val="en-US" w:eastAsia="zh-CN"/>
              </w:rPr>
            </w:pPr>
            <w:r>
              <w:rPr>
                <w:rFonts w:hint="eastAsia" w:eastAsia="宋体"/>
                <w:highlight w:val="none"/>
                <w:lang w:val="en-US" w:eastAsia="zh-CN"/>
              </w:rPr>
              <w:t>2-17</w:t>
            </w:r>
          </w:p>
        </w:tc>
        <w:tc>
          <w:tcPr>
            <w:tcW w:w="6642" w:type="dxa"/>
            <w:vAlign w:val="top"/>
          </w:tcPr>
          <w:p>
            <w:pPr>
              <w:pStyle w:val="40"/>
              <w:numPr>
                <w:ilvl w:val="0"/>
                <w:numId w:val="0"/>
              </w:numPr>
              <w:ind w:leftChars="0"/>
              <w:jc w:val="both"/>
              <w:rPr>
                <w:rFonts w:hint="eastAsia" w:ascii="Times New Roman" w:hAnsi="Times New Roman" w:cs="Times New Roman"/>
                <w:b/>
                <w:bCs/>
                <w:highlight w:val="none"/>
                <w:vertAlign w:val="baseline"/>
                <w:lang w:val="en-US" w:eastAsia="zh-CN"/>
              </w:rPr>
            </w:pPr>
            <w:r>
              <w:rPr>
                <w:rFonts w:hint="eastAsia"/>
                <w:b/>
                <w:bCs/>
                <w:highlight w:val="none"/>
                <w:lang w:val="en-US" w:eastAsia="zh-CN"/>
              </w:rPr>
              <w:t>Proposal 10: no supported if there is no corresponding RF requirement is specified.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320" w:type="dxa"/>
            <w:vAlign w:val="top"/>
          </w:tcPr>
          <w:p>
            <w:pPr>
              <w:pStyle w:val="40"/>
              <w:numPr>
                <w:ilvl w:val="0"/>
                <w:numId w:val="0"/>
              </w:numPr>
              <w:jc w:val="both"/>
              <w:rPr>
                <w:rFonts w:hint="eastAsia" w:ascii="Times New Roman" w:hAnsi="Times New Roman" w:cs="Times New Roman"/>
                <w:b/>
                <w:bCs/>
                <w:highlight w:val="none"/>
                <w:vertAlign w:val="baseline"/>
                <w:lang w:val="en-US" w:eastAsia="zh-CN"/>
              </w:rPr>
            </w:pPr>
            <w:r>
              <w:rPr>
                <w:rFonts w:hint="eastAsia"/>
                <w:lang w:val="en-US" w:eastAsia="zh-CN"/>
              </w:rPr>
              <w:t>2-8</w:t>
            </w:r>
          </w:p>
        </w:tc>
        <w:tc>
          <w:tcPr>
            <w:tcW w:w="6642" w:type="dxa"/>
            <w:vAlign w:val="top"/>
          </w:tcPr>
          <w:p>
            <w:pPr>
              <w:pStyle w:val="40"/>
              <w:numPr>
                <w:ilvl w:val="0"/>
                <w:numId w:val="0"/>
              </w:numPr>
              <w:ind w:leftChars="0"/>
              <w:jc w:val="both"/>
              <w:rPr>
                <w:rFonts w:hint="eastAsia" w:ascii="Times New Roman" w:hAnsi="Times New Roman" w:cs="Times New Roman"/>
                <w:b/>
                <w:bCs/>
                <w:highlight w:val="none"/>
                <w:vertAlign w:val="baseline"/>
                <w:lang w:val="en-US" w:eastAsia="zh-CN"/>
              </w:rPr>
            </w:pPr>
            <w:r>
              <w:rPr>
                <w:rFonts w:hint="eastAsia"/>
                <w:b/>
                <w:bCs/>
                <w:highlight w:val="none"/>
                <w:lang w:val="en-US" w:eastAsia="zh-CN"/>
              </w:rPr>
              <w:t>Proposal 11: no supported for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320" w:type="dxa"/>
            <w:vAlign w:val="top"/>
          </w:tcPr>
          <w:p>
            <w:pPr>
              <w:pStyle w:val="40"/>
              <w:numPr>
                <w:ilvl w:val="0"/>
                <w:numId w:val="0"/>
              </w:numPr>
              <w:jc w:val="both"/>
              <w:rPr>
                <w:rFonts w:hint="eastAsia" w:ascii="Times New Roman" w:hAnsi="Times New Roman" w:cs="Times New Roman"/>
                <w:b/>
                <w:bCs/>
                <w:highlight w:val="none"/>
                <w:vertAlign w:val="baseline"/>
                <w:lang w:val="en-US" w:eastAsia="zh-CN"/>
              </w:rPr>
            </w:pPr>
            <w:r>
              <w:rPr>
                <w:rFonts w:hint="eastAsia"/>
                <w:highlight w:val="none"/>
                <w:lang w:val="en-US" w:eastAsia="zh-CN"/>
              </w:rPr>
              <w:t>2-11</w:t>
            </w:r>
          </w:p>
        </w:tc>
        <w:tc>
          <w:tcPr>
            <w:tcW w:w="6642" w:type="dxa"/>
            <w:vAlign w:val="top"/>
          </w:tcPr>
          <w:p>
            <w:pPr>
              <w:pStyle w:val="40"/>
              <w:numPr>
                <w:ilvl w:val="0"/>
                <w:numId w:val="0"/>
              </w:numPr>
              <w:ind w:leftChars="0"/>
              <w:jc w:val="both"/>
              <w:rPr>
                <w:rFonts w:hint="eastAsia" w:ascii="Times New Roman" w:hAnsi="Times New Roman" w:cs="Times New Roman"/>
                <w:b/>
                <w:bCs/>
                <w:highlight w:val="none"/>
                <w:vertAlign w:val="baseline"/>
                <w:lang w:val="en-US" w:eastAsia="zh-CN"/>
              </w:rPr>
            </w:pPr>
            <w:r>
              <w:rPr>
                <w:rFonts w:hint="eastAsia"/>
                <w:b/>
                <w:bCs/>
                <w:highlight w:val="none"/>
                <w:lang w:val="en-US" w:eastAsia="zh-CN"/>
              </w:rPr>
              <w:t>Proposal 12: not supported for 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320" w:type="dxa"/>
            <w:vAlign w:val="top"/>
          </w:tcPr>
          <w:p>
            <w:pPr>
              <w:pStyle w:val="40"/>
              <w:numPr>
                <w:ilvl w:val="0"/>
                <w:numId w:val="0"/>
              </w:numPr>
              <w:jc w:val="both"/>
              <w:rPr>
                <w:rFonts w:hint="eastAsia" w:ascii="Times New Roman" w:hAnsi="Times New Roman" w:cs="Times New Roman"/>
                <w:b/>
                <w:bCs/>
                <w:highlight w:val="none"/>
                <w:vertAlign w:val="baseline"/>
                <w:lang w:val="en-US" w:eastAsia="zh-CN"/>
              </w:rPr>
            </w:pPr>
            <w:r>
              <w:rPr>
                <w:rFonts w:hint="eastAsia"/>
                <w:color w:val="auto"/>
                <w:highlight w:val="none"/>
                <w:lang w:val="en-US" w:eastAsia="zh-CN"/>
              </w:rPr>
              <w:t>2-12</w:t>
            </w:r>
          </w:p>
        </w:tc>
        <w:tc>
          <w:tcPr>
            <w:tcW w:w="6642" w:type="dxa"/>
            <w:vAlign w:val="top"/>
          </w:tcPr>
          <w:p>
            <w:pPr>
              <w:pStyle w:val="40"/>
              <w:numPr>
                <w:ilvl w:val="0"/>
                <w:numId w:val="0"/>
              </w:numPr>
              <w:ind w:leftChars="0"/>
              <w:jc w:val="both"/>
              <w:rPr>
                <w:rFonts w:hint="eastAsia" w:ascii="Times New Roman" w:hAnsi="Times New Roman" w:cs="Times New Roman"/>
                <w:b/>
                <w:bCs/>
                <w:highlight w:val="none"/>
                <w:vertAlign w:val="baseline"/>
                <w:lang w:val="en-US" w:eastAsia="zh-CN"/>
              </w:rPr>
            </w:pPr>
            <w:r>
              <w:rPr>
                <w:rFonts w:hint="eastAsia"/>
                <w:b/>
                <w:bCs/>
                <w:highlight w:val="none"/>
                <w:lang w:val="en-US" w:eastAsia="zh-CN"/>
              </w:rPr>
              <w:t>Proposal 13: optional for 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320" w:type="dxa"/>
            <w:vAlign w:val="top"/>
          </w:tcPr>
          <w:p>
            <w:pPr>
              <w:pStyle w:val="40"/>
              <w:numPr>
                <w:ilvl w:val="0"/>
                <w:numId w:val="0"/>
              </w:numPr>
              <w:jc w:val="both"/>
              <w:rPr>
                <w:rFonts w:hint="eastAsia" w:ascii="Times New Roman" w:hAnsi="Times New Roman" w:cs="Times New Roman"/>
                <w:b/>
                <w:bCs/>
                <w:highlight w:val="none"/>
                <w:vertAlign w:val="baseline"/>
                <w:lang w:val="en-US" w:eastAsia="zh-CN"/>
              </w:rPr>
            </w:pPr>
            <w:r>
              <w:rPr>
                <w:rFonts w:hint="eastAsia"/>
                <w:lang w:val="en-US" w:eastAsia="zh-CN"/>
              </w:rPr>
              <w:t>3-1</w:t>
            </w:r>
          </w:p>
        </w:tc>
        <w:tc>
          <w:tcPr>
            <w:tcW w:w="6642" w:type="dxa"/>
            <w:vAlign w:val="top"/>
          </w:tcPr>
          <w:p>
            <w:pPr>
              <w:pStyle w:val="40"/>
              <w:jc w:val="both"/>
              <w:rPr>
                <w:rFonts w:hint="eastAsia" w:ascii="Times New Roman" w:hAnsi="Times New Roman" w:cs="Times New Roman"/>
                <w:b/>
                <w:bCs/>
                <w:highlight w:val="none"/>
                <w:vertAlign w:val="baseline"/>
                <w:lang w:val="en-US" w:eastAsia="zh-CN"/>
              </w:rPr>
            </w:pPr>
            <w:r>
              <w:rPr>
                <w:rFonts w:hint="eastAsia"/>
                <w:b/>
                <w:bCs/>
                <w:highlight w:val="none"/>
                <w:lang w:val="en-US" w:eastAsia="zh-CN"/>
              </w:rPr>
              <w:t>Proposal 14: not supported for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320" w:type="dxa"/>
            <w:vAlign w:val="top"/>
          </w:tcPr>
          <w:p>
            <w:pPr>
              <w:pStyle w:val="40"/>
              <w:numPr>
                <w:ilvl w:val="0"/>
                <w:numId w:val="0"/>
              </w:numPr>
              <w:jc w:val="both"/>
              <w:rPr>
                <w:rFonts w:hint="eastAsia" w:ascii="Times New Roman" w:hAnsi="Times New Roman" w:cs="Times New Roman"/>
                <w:b/>
                <w:bCs/>
                <w:highlight w:val="none"/>
                <w:vertAlign w:val="baseline"/>
                <w:lang w:val="en-US" w:eastAsia="zh-CN"/>
              </w:rPr>
            </w:pPr>
            <w:r>
              <w:rPr>
                <w:rFonts w:hint="eastAsia"/>
                <w:lang w:val="en-US" w:eastAsia="zh-CN"/>
              </w:rPr>
              <w:t>3-2</w:t>
            </w:r>
          </w:p>
        </w:tc>
        <w:tc>
          <w:tcPr>
            <w:tcW w:w="6642" w:type="dxa"/>
            <w:vAlign w:val="top"/>
          </w:tcPr>
          <w:p>
            <w:pPr>
              <w:pStyle w:val="40"/>
              <w:jc w:val="both"/>
              <w:rPr>
                <w:rFonts w:hint="eastAsia" w:ascii="Times New Roman" w:hAnsi="Times New Roman" w:cs="Times New Roman"/>
                <w:b/>
                <w:bCs/>
                <w:highlight w:val="none"/>
                <w:vertAlign w:val="baseline"/>
                <w:lang w:val="en-US" w:eastAsia="zh-CN"/>
              </w:rPr>
            </w:pPr>
            <w:r>
              <w:rPr>
                <w:rFonts w:hint="eastAsia"/>
                <w:b/>
                <w:bCs/>
                <w:highlight w:val="none"/>
                <w:lang w:val="en-US" w:eastAsia="zh-CN"/>
              </w:rPr>
              <w:t>Proposal 15: Optional for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320" w:type="dxa"/>
            <w:vAlign w:val="top"/>
          </w:tcPr>
          <w:p>
            <w:pPr>
              <w:pStyle w:val="40"/>
              <w:numPr>
                <w:ilvl w:val="0"/>
                <w:numId w:val="0"/>
              </w:numPr>
              <w:jc w:val="both"/>
              <w:rPr>
                <w:rFonts w:hint="eastAsia" w:ascii="Times New Roman" w:hAnsi="Times New Roman" w:cs="Times New Roman"/>
                <w:b/>
                <w:bCs/>
                <w:highlight w:val="none"/>
                <w:vertAlign w:val="baseline"/>
                <w:lang w:val="en-US" w:eastAsia="zh-CN"/>
              </w:rPr>
            </w:pPr>
            <w:r>
              <w:rPr>
                <w:rFonts w:hint="eastAsia"/>
                <w:lang w:val="en-US" w:eastAsia="zh-CN"/>
              </w:rPr>
              <w:t>3-3</w:t>
            </w:r>
          </w:p>
        </w:tc>
        <w:tc>
          <w:tcPr>
            <w:tcW w:w="6642" w:type="dxa"/>
            <w:vAlign w:val="top"/>
          </w:tcPr>
          <w:p>
            <w:pPr>
              <w:pStyle w:val="40"/>
              <w:jc w:val="both"/>
              <w:rPr>
                <w:rFonts w:hint="eastAsia" w:ascii="Times New Roman" w:hAnsi="Times New Roman" w:cs="Times New Roman"/>
                <w:b/>
                <w:bCs/>
                <w:highlight w:val="none"/>
                <w:vertAlign w:val="baseline"/>
                <w:lang w:val="en-US" w:eastAsia="zh-CN"/>
              </w:rPr>
            </w:pPr>
            <w:r>
              <w:rPr>
                <w:rFonts w:hint="eastAsia"/>
                <w:b/>
                <w:bCs/>
                <w:highlight w:val="none"/>
                <w:lang w:val="en-US" w:eastAsia="zh-CN"/>
              </w:rPr>
              <w:t>Proposal 16: not supported for 3-3</w:t>
            </w:r>
          </w:p>
        </w:tc>
      </w:tr>
    </w:tbl>
    <w:p>
      <w:pPr>
        <w:pStyle w:val="32"/>
        <w:tabs>
          <w:tab w:val="left" w:pos="567"/>
          <w:tab w:val="clear" w:pos="1985"/>
        </w:tabs>
        <w:adjustRightInd w:val="0"/>
        <w:ind w:left="510" w:hanging="510"/>
        <w:rPr>
          <w:rFonts w:hint="eastAsia"/>
          <w:highlight w:val="none"/>
        </w:rPr>
      </w:pPr>
      <w:r>
        <w:rPr>
          <w:highlight w:val="none"/>
        </w:rPr>
        <w:t>R</w:t>
      </w:r>
      <w:r>
        <w:rPr>
          <w:rFonts w:hint="eastAsia" w:eastAsia="宋体"/>
          <w:highlight w:val="none"/>
          <w:lang w:val="en-US" w:eastAsia="zh-CN"/>
        </w:rPr>
        <w:t>e</w:t>
      </w:r>
      <w:r>
        <w:rPr>
          <w:highlight w:val="none"/>
        </w:rPr>
        <w:t>ferences</w:t>
      </w:r>
    </w:p>
    <w:p>
      <w:pPr>
        <w:numPr>
          <w:ilvl w:val="0"/>
          <w:numId w:val="2"/>
        </w:numPr>
        <w:rPr>
          <w:rFonts w:hint="eastAsia" w:ascii="Times New Roman" w:hAnsi="Times New Roman"/>
          <w:kern w:val="2"/>
          <w:sz w:val="21"/>
          <w:szCs w:val="24"/>
          <w:highlight w:val="none"/>
          <w:lang w:val="en-US" w:eastAsia="zh-CN" w:bidi="ar-SA"/>
        </w:rPr>
      </w:pPr>
      <w:r>
        <w:rPr>
          <w:rFonts w:hint="eastAsia" w:ascii="Times New Roman" w:hAnsi="Times New Roman"/>
          <w:kern w:val="2"/>
          <w:sz w:val="21"/>
          <w:szCs w:val="24"/>
          <w:highlight w:val="none"/>
          <w:lang w:val="en-US" w:eastAsia="zh-CN" w:bidi="ar-SA"/>
        </w:rPr>
        <w:t xml:space="preserve">R4-2009067, </w:t>
      </w:r>
      <w:r>
        <w:rPr>
          <w:rFonts w:hint="default" w:ascii="Times New Roman" w:hAnsi="Times New Roman"/>
          <w:kern w:val="2"/>
          <w:sz w:val="21"/>
          <w:szCs w:val="24"/>
          <w:highlight w:val="none"/>
          <w:lang w:val="en-US" w:eastAsia="zh-CN" w:bidi="ar-SA"/>
        </w:rPr>
        <w:t>WF on IAB-MT feature list, approved.</w:t>
      </w:r>
    </w:p>
    <w:p>
      <w:pPr>
        <w:numPr>
          <w:ilvl w:val="0"/>
          <w:numId w:val="2"/>
        </w:numPr>
        <w:rPr>
          <w:rFonts w:hint="eastAsia" w:ascii="Times New Roman" w:hAnsi="Times New Roman"/>
          <w:kern w:val="2"/>
          <w:sz w:val="21"/>
          <w:szCs w:val="24"/>
          <w:highlight w:val="none"/>
          <w:lang w:val="en-US" w:eastAsia="zh-CN" w:bidi="ar-SA"/>
        </w:rPr>
      </w:pPr>
      <w:bookmarkStart w:id="21" w:name="OLE_LINK33"/>
      <w:r>
        <w:rPr>
          <w:rFonts w:hint="eastAsia" w:ascii="Times New Roman" w:hAnsi="Times New Roman"/>
          <w:kern w:val="2"/>
          <w:sz w:val="21"/>
          <w:szCs w:val="24"/>
          <w:highlight w:val="none"/>
          <w:lang w:val="en-US" w:eastAsia="zh-CN" w:bidi="ar-SA"/>
        </w:rPr>
        <w:t>R4-2005606</w:t>
      </w:r>
      <w:bookmarkEnd w:id="21"/>
      <w:r>
        <w:rPr>
          <w:rFonts w:hint="eastAsia" w:ascii="Times New Roman" w:hAnsi="Times New Roman"/>
          <w:kern w:val="2"/>
          <w:sz w:val="21"/>
          <w:szCs w:val="24"/>
          <w:highlight w:val="none"/>
          <w:lang w:val="en-US" w:eastAsia="zh-CN" w:bidi="ar-SA"/>
        </w:rPr>
        <w:t>, WF on IAB-MT RAN4 features, QC, approved.</w:t>
      </w:r>
    </w:p>
    <w:p>
      <w:pPr>
        <w:numPr>
          <w:ilvl w:val="0"/>
          <w:numId w:val="0"/>
        </w:numPr>
        <w:rPr>
          <w:rFonts w:hint="eastAsia" w:ascii="Times New Roman" w:hAnsi="Times New Roman"/>
          <w:kern w:val="2"/>
          <w:sz w:val="21"/>
          <w:szCs w:val="24"/>
          <w:highlight w:val="none"/>
          <w:lang w:val="en-US" w:eastAsia="zh-CN" w:bidi="ar-SA"/>
        </w:rPr>
      </w:pPr>
    </w:p>
    <w:p>
      <w:pPr>
        <w:numPr>
          <w:ilvl w:val="0"/>
          <w:numId w:val="0"/>
        </w:numPr>
        <w:rPr>
          <w:rFonts w:hint="eastAsia" w:ascii="Times New Roman" w:hAnsi="Times New Roman"/>
          <w:szCs w:val="24"/>
          <w:highlight w:val="none"/>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Times">
    <w:altName w:val="Times New Roman"/>
    <w:panose1 w:val="02020603050405020304"/>
    <w:charset w:val="00"/>
    <w:family w:val="roman"/>
    <w:pitch w:val="default"/>
    <w:sig w:usb0="E0002AFF" w:usb1="C0007841" w:usb2="00000009" w:usb3="00000000" w:csb0="000001FF"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5CE2C5"/>
    <w:multiLevelType w:val="singleLevel"/>
    <w:tmpl w:val="B45CE2C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3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6C9"/>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AAC"/>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90"/>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0FE"/>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0D75"/>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77484"/>
    <w:rsid w:val="01442D89"/>
    <w:rsid w:val="016800B9"/>
    <w:rsid w:val="01821D8F"/>
    <w:rsid w:val="018C2266"/>
    <w:rsid w:val="0195201D"/>
    <w:rsid w:val="01A402CD"/>
    <w:rsid w:val="01A742A2"/>
    <w:rsid w:val="01BE6ACE"/>
    <w:rsid w:val="01C32135"/>
    <w:rsid w:val="01CB7A2C"/>
    <w:rsid w:val="01D518FC"/>
    <w:rsid w:val="01E1598F"/>
    <w:rsid w:val="01F60577"/>
    <w:rsid w:val="021D2604"/>
    <w:rsid w:val="022F27E1"/>
    <w:rsid w:val="022F66E0"/>
    <w:rsid w:val="0238292F"/>
    <w:rsid w:val="02496161"/>
    <w:rsid w:val="024C13AB"/>
    <w:rsid w:val="02761322"/>
    <w:rsid w:val="028748E0"/>
    <w:rsid w:val="02A47CF4"/>
    <w:rsid w:val="02CE3DD2"/>
    <w:rsid w:val="02DC6BBC"/>
    <w:rsid w:val="02E063AE"/>
    <w:rsid w:val="02E929C0"/>
    <w:rsid w:val="02F95CD1"/>
    <w:rsid w:val="031E4C95"/>
    <w:rsid w:val="032E4DBB"/>
    <w:rsid w:val="03332CAE"/>
    <w:rsid w:val="03343BC7"/>
    <w:rsid w:val="033F52A3"/>
    <w:rsid w:val="0354325C"/>
    <w:rsid w:val="03651217"/>
    <w:rsid w:val="03687ADD"/>
    <w:rsid w:val="036A231E"/>
    <w:rsid w:val="03774924"/>
    <w:rsid w:val="03822F79"/>
    <w:rsid w:val="039B69FD"/>
    <w:rsid w:val="03C0647A"/>
    <w:rsid w:val="03D4427A"/>
    <w:rsid w:val="041875C1"/>
    <w:rsid w:val="04252816"/>
    <w:rsid w:val="04376B0F"/>
    <w:rsid w:val="0444783F"/>
    <w:rsid w:val="04786ED3"/>
    <w:rsid w:val="048829D4"/>
    <w:rsid w:val="04E434FA"/>
    <w:rsid w:val="051034CD"/>
    <w:rsid w:val="05362707"/>
    <w:rsid w:val="053E1AC2"/>
    <w:rsid w:val="05533ADD"/>
    <w:rsid w:val="05583DC1"/>
    <w:rsid w:val="05816D10"/>
    <w:rsid w:val="05930F73"/>
    <w:rsid w:val="05BE42A5"/>
    <w:rsid w:val="05D16BC6"/>
    <w:rsid w:val="05EE3B4E"/>
    <w:rsid w:val="060D249E"/>
    <w:rsid w:val="06474EFD"/>
    <w:rsid w:val="064A35EA"/>
    <w:rsid w:val="064B521E"/>
    <w:rsid w:val="067570AB"/>
    <w:rsid w:val="06836FEC"/>
    <w:rsid w:val="068523FB"/>
    <w:rsid w:val="06983C24"/>
    <w:rsid w:val="06A32A23"/>
    <w:rsid w:val="06A55EB9"/>
    <w:rsid w:val="06B548E2"/>
    <w:rsid w:val="06BA7F49"/>
    <w:rsid w:val="06BB4F9D"/>
    <w:rsid w:val="06CC50FA"/>
    <w:rsid w:val="06F30672"/>
    <w:rsid w:val="06F35A7A"/>
    <w:rsid w:val="06F35AB6"/>
    <w:rsid w:val="06F66B05"/>
    <w:rsid w:val="072854D1"/>
    <w:rsid w:val="072B7E46"/>
    <w:rsid w:val="072F2139"/>
    <w:rsid w:val="07436058"/>
    <w:rsid w:val="074E566F"/>
    <w:rsid w:val="074F3DF9"/>
    <w:rsid w:val="07537C92"/>
    <w:rsid w:val="075670A4"/>
    <w:rsid w:val="076053EE"/>
    <w:rsid w:val="077F542D"/>
    <w:rsid w:val="077F5D16"/>
    <w:rsid w:val="07817B19"/>
    <w:rsid w:val="07916BE4"/>
    <w:rsid w:val="07AA3E51"/>
    <w:rsid w:val="07D94FEC"/>
    <w:rsid w:val="07DD018B"/>
    <w:rsid w:val="07E014BE"/>
    <w:rsid w:val="07E85751"/>
    <w:rsid w:val="0835476E"/>
    <w:rsid w:val="085D6C7E"/>
    <w:rsid w:val="08611CAF"/>
    <w:rsid w:val="0865781A"/>
    <w:rsid w:val="0866133E"/>
    <w:rsid w:val="08813C88"/>
    <w:rsid w:val="089852F1"/>
    <w:rsid w:val="089D6B7D"/>
    <w:rsid w:val="08B05D1D"/>
    <w:rsid w:val="08B21918"/>
    <w:rsid w:val="08B94847"/>
    <w:rsid w:val="08C14001"/>
    <w:rsid w:val="08D7102B"/>
    <w:rsid w:val="09556554"/>
    <w:rsid w:val="09582472"/>
    <w:rsid w:val="096308E4"/>
    <w:rsid w:val="096F1D52"/>
    <w:rsid w:val="09796C44"/>
    <w:rsid w:val="098344BC"/>
    <w:rsid w:val="09863DEF"/>
    <w:rsid w:val="09A64698"/>
    <w:rsid w:val="09AC5074"/>
    <w:rsid w:val="09AD07F3"/>
    <w:rsid w:val="09B14A34"/>
    <w:rsid w:val="09D84744"/>
    <w:rsid w:val="0A093274"/>
    <w:rsid w:val="0A2705E1"/>
    <w:rsid w:val="0A2A6A0B"/>
    <w:rsid w:val="0A312533"/>
    <w:rsid w:val="0A3A0D5D"/>
    <w:rsid w:val="0A5029A7"/>
    <w:rsid w:val="0A5056C6"/>
    <w:rsid w:val="0A5060D6"/>
    <w:rsid w:val="0A7200B0"/>
    <w:rsid w:val="0A771CA5"/>
    <w:rsid w:val="0A843B9D"/>
    <w:rsid w:val="0A8621F2"/>
    <w:rsid w:val="0A8F1F9F"/>
    <w:rsid w:val="0A986FC3"/>
    <w:rsid w:val="0A9B6BF5"/>
    <w:rsid w:val="0AB329A9"/>
    <w:rsid w:val="0ABA1933"/>
    <w:rsid w:val="0ACD4245"/>
    <w:rsid w:val="0AE43028"/>
    <w:rsid w:val="0B110AC0"/>
    <w:rsid w:val="0B1157EF"/>
    <w:rsid w:val="0B1765E0"/>
    <w:rsid w:val="0B1C1D7C"/>
    <w:rsid w:val="0B2167F2"/>
    <w:rsid w:val="0B22066E"/>
    <w:rsid w:val="0B2646B6"/>
    <w:rsid w:val="0B362201"/>
    <w:rsid w:val="0B3F2432"/>
    <w:rsid w:val="0B4D5218"/>
    <w:rsid w:val="0B622E13"/>
    <w:rsid w:val="0B717521"/>
    <w:rsid w:val="0B892782"/>
    <w:rsid w:val="0BA10D1B"/>
    <w:rsid w:val="0BB2460A"/>
    <w:rsid w:val="0BE17727"/>
    <w:rsid w:val="0BF427F9"/>
    <w:rsid w:val="0C0A7AE1"/>
    <w:rsid w:val="0C0C632D"/>
    <w:rsid w:val="0C3C0AB0"/>
    <w:rsid w:val="0C584BB8"/>
    <w:rsid w:val="0C6038EF"/>
    <w:rsid w:val="0C654C73"/>
    <w:rsid w:val="0C751214"/>
    <w:rsid w:val="0C780533"/>
    <w:rsid w:val="0C85742B"/>
    <w:rsid w:val="0C873353"/>
    <w:rsid w:val="0C8B4B61"/>
    <w:rsid w:val="0CA92BAC"/>
    <w:rsid w:val="0CB90F2E"/>
    <w:rsid w:val="0CF2711C"/>
    <w:rsid w:val="0D04575D"/>
    <w:rsid w:val="0D0612B8"/>
    <w:rsid w:val="0D066A9C"/>
    <w:rsid w:val="0D0714BC"/>
    <w:rsid w:val="0D1A52C8"/>
    <w:rsid w:val="0D2767B5"/>
    <w:rsid w:val="0D5800C7"/>
    <w:rsid w:val="0D6A353C"/>
    <w:rsid w:val="0D7A167F"/>
    <w:rsid w:val="0D8750C2"/>
    <w:rsid w:val="0DA060E8"/>
    <w:rsid w:val="0DCE36F3"/>
    <w:rsid w:val="0DD621E4"/>
    <w:rsid w:val="0DDE1317"/>
    <w:rsid w:val="0DE445EF"/>
    <w:rsid w:val="0E0313B1"/>
    <w:rsid w:val="0E0D1A47"/>
    <w:rsid w:val="0E3217E8"/>
    <w:rsid w:val="0E4A4326"/>
    <w:rsid w:val="0E5E2B07"/>
    <w:rsid w:val="0E771E51"/>
    <w:rsid w:val="0E8118C0"/>
    <w:rsid w:val="0EB34961"/>
    <w:rsid w:val="0EC468A2"/>
    <w:rsid w:val="0ECE7C5F"/>
    <w:rsid w:val="0EF75D05"/>
    <w:rsid w:val="0F12247A"/>
    <w:rsid w:val="0F164AA2"/>
    <w:rsid w:val="0F1D0ECD"/>
    <w:rsid w:val="0F364BC2"/>
    <w:rsid w:val="0F3A630E"/>
    <w:rsid w:val="0F3B1C05"/>
    <w:rsid w:val="0F455F85"/>
    <w:rsid w:val="0F49564D"/>
    <w:rsid w:val="0F4D1918"/>
    <w:rsid w:val="0F5075AE"/>
    <w:rsid w:val="0F521719"/>
    <w:rsid w:val="0F584757"/>
    <w:rsid w:val="0F6E3285"/>
    <w:rsid w:val="0F80243B"/>
    <w:rsid w:val="0F852F4C"/>
    <w:rsid w:val="0FAD0019"/>
    <w:rsid w:val="0FAD3299"/>
    <w:rsid w:val="0FB31343"/>
    <w:rsid w:val="0FBB03CC"/>
    <w:rsid w:val="0FC12836"/>
    <w:rsid w:val="0FD95333"/>
    <w:rsid w:val="0FDC6575"/>
    <w:rsid w:val="10045EE6"/>
    <w:rsid w:val="103A7991"/>
    <w:rsid w:val="103B5442"/>
    <w:rsid w:val="10462479"/>
    <w:rsid w:val="104B2D15"/>
    <w:rsid w:val="10674DB0"/>
    <w:rsid w:val="107374A2"/>
    <w:rsid w:val="108379AF"/>
    <w:rsid w:val="10886883"/>
    <w:rsid w:val="108A2129"/>
    <w:rsid w:val="10924B2D"/>
    <w:rsid w:val="10953B42"/>
    <w:rsid w:val="10CC5735"/>
    <w:rsid w:val="10E12DA7"/>
    <w:rsid w:val="10FA45D2"/>
    <w:rsid w:val="1100531F"/>
    <w:rsid w:val="11024527"/>
    <w:rsid w:val="110A4489"/>
    <w:rsid w:val="111A28E5"/>
    <w:rsid w:val="112F54D2"/>
    <w:rsid w:val="1133321C"/>
    <w:rsid w:val="11576536"/>
    <w:rsid w:val="117824F0"/>
    <w:rsid w:val="117E2370"/>
    <w:rsid w:val="11B66269"/>
    <w:rsid w:val="11BA0839"/>
    <w:rsid w:val="11D7411F"/>
    <w:rsid w:val="11F267E8"/>
    <w:rsid w:val="1210456D"/>
    <w:rsid w:val="121729B6"/>
    <w:rsid w:val="122C6138"/>
    <w:rsid w:val="125A02CC"/>
    <w:rsid w:val="12845278"/>
    <w:rsid w:val="128E70AD"/>
    <w:rsid w:val="12B1068C"/>
    <w:rsid w:val="12C77089"/>
    <w:rsid w:val="12DD694C"/>
    <w:rsid w:val="12F538D3"/>
    <w:rsid w:val="12F85F0D"/>
    <w:rsid w:val="131046DE"/>
    <w:rsid w:val="131B2229"/>
    <w:rsid w:val="131D12BF"/>
    <w:rsid w:val="132625C2"/>
    <w:rsid w:val="132A7435"/>
    <w:rsid w:val="136E4669"/>
    <w:rsid w:val="137F1B10"/>
    <w:rsid w:val="1382164E"/>
    <w:rsid w:val="13AB3B97"/>
    <w:rsid w:val="13B66BD2"/>
    <w:rsid w:val="13BF66BA"/>
    <w:rsid w:val="13CD1105"/>
    <w:rsid w:val="13DC36E2"/>
    <w:rsid w:val="144C6544"/>
    <w:rsid w:val="145A0D7E"/>
    <w:rsid w:val="14812D74"/>
    <w:rsid w:val="14836C15"/>
    <w:rsid w:val="14862300"/>
    <w:rsid w:val="14A82A63"/>
    <w:rsid w:val="14AC358C"/>
    <w:rsid w:val="14B76730"/>
    <w:rsid w:val="14DE753E"/>
    <w:rsid w:val="151B0462"/>
    <w:rsid w:val="151C45D8"/>
    <w:rsid w:val="15290336"/>
    <w:rsid w:val="155B1745"/>
    <w:rsid w:val="155F651D"/>
    <w:rsid w:val="15655F19"/>
    <w:rsid w:val="157348EB"/>
    <w:rsid w:val="15787FE5"/>
    <w:rsid w:val="157E21FE"/>
    <w:rsid w:val="15AA7A19"/>
    <w:rsid w:val="15AC5259"/>
    <w:rsid w:val="15AE19F3"/>
    <w:rsid w:val="15B06B12"/>
    <w:rsid w:val="15BE3D9D"/>
    <w:rsid w:val="15D4474D"/>
    <w:rsid w:val="15D7597F"/>
    <w:rsid w:val="15E61B92"/>
    <w:rsid w:val="15F35485"/>
    <w:rsid w:val="161C3234"/>
    <w:rsid w:val="1641433F"/>
    <w:rsid w:val="165C4863"/>
    <w:rsid w:val="1663476A"/>
    <w:rsid w:val="166C0D1B"/>
    <w:rsid w:val="167344C7"/>
    <w:rsid w:val="16794785"/>
    <w:rsid w:val="16A65B92"/>
    <w:rsid w:val="16AD0A57"/>
    <w:rsid w:val="16BA18A0"/>
    <w:rsid w:val="16BC2A78"/>
    <w:rsid w:val="16C41FCF"/>
    <w:rsid w:val="16E7220A"/>
    <w:rsid w:val="170133DA"/>
    <w:rsid w:val="170259E1"/>
    <w:rsid w:val="170353FD"/>
    <w:rsid w:val="170D4BCD"/>
    <w:rsid w:val="171053FC"/>
    <w:rsid w:val="17382580"/>
    <w:rsid w:val="175E4288"/>
    <w:rsid w:val="17844C56"/>
    <w:rsid w:val="179A2CA4"/>
    <w:rsid w:val="17A30F12"/>
    <w:rsid w:val="17BA48D6"/>
    <w:rsid w:val="17D21E0A"/>
    <w:rsid w:val="17D34FFB"/>
    <w:rsid w:val="17D77CA7"/>
    <w:rsid w:val="17DD34AB"/>
    <w:rsid w:val="17FE0B0A"/>
    <w:rsid w:val="17FE0C9F"/>
    <w:rsid w:val="17FF3C9D"/>
    <w:rsid w:val="18235E85"/>
    <w:rsid w:val="184E443E"/>
    <w:rsid w:val="187640ED"/>
    <w:rsid w:val="18804AA7"/>
    <w:rsid w:val="18A16B9A"/>
    <w:rsid w:val="18AE6A50"/>
    <w:rsid w:val="18B417E1"/>
    <w:rsid w:val="18E872D7"/>
    <w:rsid w:val="18F931E6"/>
    <w:rsid w:val="18FA042B"/>
    <w:rsid w:val="18FE4673"/>
    <w:rsid w:val="18FE4771"/>
    <w:rsid w:val="19046384"/>
    <w:rsid w:val="19063B43"/>
    <w:rsid w:val="190E5998"/>
    <w:rsid w:val="19200B97"/>
    <w:rsid w:val="19267DCF"/>
    <w:rsid w:val="192A5704"/>
    <w:rsid w:val="193C1AB3"/>
    <w:rsid w:val="19537076"/>
    <w:rsid w:val="19564B19"/>
    <w:rsid w:val="195F336A"/>
    <w:rsid w:val="196A0432"/>
    <w:rsid w:val="19720BF1"/>
    <w:rsid w:val="198374F4"/>
    <w:rsid w:val="1989194D"/>
    <w:rsid w:val="19A7296F"/>
    <w:rsid w:val="19B94DE5"/>
    <w:rsid w:val="19BB7983"/>
    <w:rsid w:val="19D76F77"/>
    <w:rsid w:val="19DE7440"/>
    <w:rsid w:val="1A5F7253"/>
    <w:rsid w:val="1A725418"/>
    <w:rsid w:val="1A7A2EF9"/>
    <w:rsid w:val="1A7F4EDC"/>
    <w:rsid w:val="1A960E81"/>
    <w:rsid w:val="1A9A0C93"/>
    <w:rsid w:val="1AB359A1"/>
    <w:rsid w:val="1ABD31B9"/>
    <w:rsid w:val="1ACE2A77"/>
    <w:rsid w:val="1ADA6731"/>
    <w:rsid w:val="1ADC2627"/>
    <w:rsid w:val="1AF34AE5"/>
    <w:rsid w:val="1AF84C8C"/>
    <w:rsid w:val="1AFE2079"/>
    <w:rsid w:val="1B00502A"/>
    <w:rsid w:val="1B0B3B20"/>
    <w:rsid w:val="1B1613A0"/>
    <w:rsid w:val="1B2A7E36"/>
    <w:rsid w:val="1B324397"/>
    <w:rsid w:val="1B324981"/>
    <w:rsid w:val="1B372EB9"/>
    <w:rsid w:val="1B5D3106"/>
    <w:rsid w:val="1B726059"/>
    <w:rsid w:val="1B7906CE"/>
    <w:rsid w:val="1B7D07F3"/>
    <w:rsid w:val="1B7F5544"/>
    <w:rsid w:val="1B831B2B"/>
    <w:rsid w:val="1B852CF7"/>
    <w:rsid w:val="1BA57F07"/>
    <w:rsid w:val="1BB848C7"/>
    <w:rsid w:val="1BD91032"/>
    <w:rsid w:val="1C0D60C9"/>
    <w:rsid w:val="1C33796F"/>
    <w:rsid w:val="1C441419"/>
    <w:rsid w:val="1C561E66"/>
    <w:rsid w:val="1C6D4144"/>
    <w:rsid w:val="1C793EB9"/>
    <w:rsid w:val="1C7B4530"/>
    <w:rsid w:val="1C9A166E"/>
    <w:rsid w:val="1CB702E9"/>
    <w:rsid w:val="1CBE5026"/>
    <w:rsid w:val="1CF333A5"/>
    <w:rsid w:val="1D0B731D"/>
    <w:rsid w:val="1D150ADE"/>
    <w:rsid w:val="1D2054C4"/>
    <w:rsid w:val="1D563E2F"/>
    <w:rsid w:val="1D6F79AF"/>
    <w:rsid w:val="1D7059E0"/>
    <w:rsid w:val="1D8F5B72"/>
    <w:rsid w:val="1D8F6826"/>
    <w:rsid w:val="1D9C5DA0"/>
    <w:rsid w:val="1D9F462B"/>
    <w:rsid w:val="1DA265B5"/>
    <w:rsid w:val="1DA95207"/>
    <w:rsid w:val="1DEC45ED"/>
    <w:rsid w:val="1E224747"/>
    <w:rsid w:val="1E304B88"/>
    <w:rsid w:val="1E3E02E7"/>
    <w:rsid w:val="1E680B85"/>
    <w:rsid w:val="1E9D55A8"/>
    <w:rsid w:val="1EA13E87"/>
    <w:rsid w:val="1EC11B39"/>
    <w:rsid w:val="1ED94E25"/>
    <w:rsid w:val="1EDB6C5F"/>
    <w:rsid w:val="1EE6740D"/>
    <w:rsid w:val="1F141EF2"/>
    <w:rsid w:val="1F3C6AF7"/>
    <w:rsid w:val="1F3C7BD3"/>
    <w:rsid w:val="1F405E44"/>
    <w:rsid w:val="1F4E681F"/>
    <w:rsid w:val="1F5324C1"/>
    <w:rsid w:val="1F6833F6"/>
    <w:rsid w:val="1F7959F4"/>
    <w:rsid w:val="1F7C19E4"/>
    <w:rsid w:val="1F83562C"/>
    <w:rsid w:val="1F865F2E"/>
    <w:rsid w:val="1FBD7AAE"/>
    <w:rsid w:val="1FBE77B2"/>
    <w:rsid w:val="1FC26AB9"/>
    <w:rsid w:val="1FE91483"/>
    <w:rsid w:val="1FED166B"/>
    <w:rsid w:val="2000119F"/>
    <w:rsid w:val="200F730B"/>
    <w:rsid w:val="201359DF"/>
    <w:rsid w:val="201C304F"/>
    <w:rsid w:val="203B1416"/>
    <w:rsid w:val="203C2005"/>
    <w:rsid w:val="204D7AED"/>
    <w:rsid w:val="204F595B"/>
    <w:rsid w:val="206301A7"/>
    <w:rsid w:val="20642E89"/>
    <w:rsid w:val="206F7CD5"/>
    <w:rsid w:val="20934FE0"/>
    <w:rsid w:val="209A17A4"/>
    <w:rsid w:val="20A70ABE"/>
    <w:rsid w:val="20B836F9"/>
    <w:rsid w:val="20C261C8"/>
    <w:rsid w:val="20C96FD1"/>
    <w:rsid w:val="20D562D7"/>
    <w:rsid w:val="20E35BDE"/>
    <w:rsid w:val="20E9348D"/>
    <w:rsid w:val="210D2CDA"/>
    <w:rsid w:val="212F6A59"/>
    <w:rsid w:val="21306305"/>
    <w:rsid w:val="213D54AD"/>
    <w:rsid w:val="214169BB"/>
    <w:rsid w:val="214B42FB"/>
    <w:rsid w:val="214F6387"/>
    <w:rsid w:val="217C7971"/>
    <w:rsid w:val="217D44BC"/>
    <w:rsid w:val="21997056"/>
    <w:rsid w:val="219D3F2A"/>
    <w:rsid w:val="21AB77F7"/>
    <w:rsid w:val="21BF03BC"/>
    <w:rsid w:val="21D06D34"/>
    <w:rsid w:val="2209399D"/>
    <w:rsid w:val="22101F8E"/>
    <w:rsid w:val="22214976"/>
    <w:rsid w:val="2225227E"/>
    <w:rsid w:val="224E74D0"/>
    <w:rsid w:val="22514140"/>
    <w:rsid w:val="228A008B"/>
    <w:rsid w:val="228F7DCF"/>
    <w:rsid w:val="229A7E25"/>
    <w:rsid w:val="22B023E6"/>
    <w:rsid w:val="22B059F5"/>
    <w:rsid w:val="22BD504B"/>
    <w:rsid w:val="22E534D1"/>
    <w:rsid w:val="22F017B2"/>
    <w:rsid w:val="230B07F6"/>
    <w:rsid w:val="23143B37"/>
    <w:rsid w:val="231637F9"/>
    <w:rsid w:val="23230E78"/>
    <w:rsid w:val="233027B0"/>
    <w:rsid w:val="23415924"/>
    <w:rsid w:val="235924CA"/>
    <w:rsid w:val="237B7D6C"/>
    <w:rsid w:val="238755B6"/>
    <w:rsid w:val="239130F2"/>
    <w:rsid w:val="239B728F"/>
    <w:rsid w:val="23A842B0"/>
    <w:rsid w:val="23BD6F6C"/>
    <w:rsid w:val="23C11156"/>
    <w:rsid w:val="23C80F4A"/>
    <w:rsid w:val="23D33566"/>
    <w:rsid w:val="23D9762E"/>
    <w:rsid w:val="24086318"/>
    <w:rsid w:val="24137B5B"/>
    <w:rsid w:val="24176341"/>
    <w:rsid w:val="24211333"/>
    <w:rsid w:val="242461D7"/>
    <w:rsid w:val="242C04D9"/>
    <w:rsid w:val="242E2FF6"/>
    <w:rsid w:val="242E7ECB"/>
    <w:rsid w:val="243A188E"/>
    <w:rsid w:val="24427358"/>
    <w:rsid w:val="244F2484"/>
    <w:rsid w:val="24574CEB"/>
    <w:rsid w:val="245D41D2"/>
    <w:rsid w:val="24667266"/>
    <w:rsid w:val="24731A96"/>
    <w:rsid w:val="247A5C3A"/>
    <w:rsid w:val="248907B2"/>
    <w:rsid w:val="249A5E20"/>
    <w:rsid w:val="249C2676"/>
    <w:rsid w:val="249C6208"/>
    <w:rsid w:val="24BD38BA"/>
    <w:rsid w:val="24F359FC"/>
    <w:rsid w:val="251D756F"/>
    <w:rsid w:val="252053F9"/>
    <w:rsid w:val="25467DBB"/>
    <w:rsid w:val="25473E3C"/>
    <w:rsid w:val="256343AC"/>
    <w:rsid w:val="257F18B5"/>
    <w:rsid w:val="25805FF5"/>
    <w:rsid w:val="258F15BB"/>
    <w:rsid w:val="259231BD"/>
    <w:rsid w:val="25A77DD4"/>
    <w:rsid w:val="25DD2A85"/>
    <w:rsid w:val="25FD5078"/>
    <w:rsid w:val="260A48BA"/>
    <w:rsid w:val="260B255C"/>
    <w:rsid w:val="26217848"/>
    <w:rsid w:val="262E20E8"/>
    <w:rsid w:val="263C3F24"/>
    <w:rsid w:val="2640682F"/>
    <w:rsid w:val="26510DB8"/>
    <w:rsid w:val="26667EB2"/>
    <w:rsid w:val="266B1FB8"/>
    <w:rsid w:val="267E518B"/>
    <w:rsid w:val="26872779"/>
    <w:rsid w:val="269B3F13"/>
    <w:rsid w:val="26A4288C"/>
    <w:rsid w:val="26AA6DE9"/>
    <w:rsid w:val="26BA1559"/>
    <w:rsid w:val="26C36DE5"/>
    <w:rsid w:val="26F40E3F"/>
    <w:rsid w:val="26F40EBD"/>
    <w:rsid w:val="26FF79CF"/>
    <w:rsid w:val="272A3F42"/>
    <w:rsid w:val="274A7B1A"/>
    <w:rsid w:val="275439E1"/>
    <w:rsid w:val="276320D7"/>
    <w:rsid w:val="279408D2"/>
    <w:rsid w:val="27B02558"/>
    <w:rsid w:val="27B91021"/>
    <w:rsid w:val="27C06D17"/>
    <w:rsid w:val="280008FF"/>
    <w:rsid w:val="28050D91"/>
    <w:rsid w:val="28237954"/>
    <w:rsid w:val="28255041"/>
    <w:rsid w:val="283A1E3E"/>
    <w:rsid w:val="284543A1"/>
    <w:rsid w:val="28553E1D"/>
    <w:rsid w:val="28821314"/>
    <w:rsid w:val="28AD2029"/>
    <w:rsid w:val="28DB0A30"/>
    <w:rsid w:val="28F95F71"/>
    <w:rsid w:val="291712DF"/>
    <w:rsid w:val="29192BE8"/>
    <w:rsid w:val="292A375F"/>
    <w:rsid w:val="29316984"/>
    <w:rsid w:val="2938092A"/>
    <w:rsid w:val="293966D9"/>
    <w:rsid w:val="2946144E"/>
    <w:rsid w:val="294A5BC8"/>
    <w:rsid w:val="29981CF5"/>
    <w:rsid w:val="29A4634A"/>
    <w:rsid w:val="29A84DD1"/>
    <w:rsid w:val="29EB2636"/>
    <w:rsid w:val="29F26903"/>
    <w:rsid w:val="2A3B063B"/>
    <w:rsid w:val="2A49761F"/>
    <w:rsid w:val="2A627EDC"/>
    <w:rsid w:val="2A630308"/>
    <w:rsid w:val="2A676AD0"/>
    <w:rsid w:val="2A687AA6"/>
    <w:rsid w:val="2A770CC7"/>
    <w:rsid w:val="2A9A66D4"/>
    <w:rsid w:val="2AAC36BD"/>
    <w:rsid w:val="2AB04937"/>
    <w:rsid w:val="2ACF5AEC"/>
    <w:rsid w:val="2AD62AB0"/>
    <w:rsid w:val="2ADE1583"/>
    <w:rsid w:val="2AE70523"/>
    <w:rsid w:val="2AFA5346"/>
    <w:rsid w:val="2B2D1363"/>
    <w:rsid w:val="2B42025A"/>
    <w:rsid w:val="2B450516"/>
    <w:rsid w:val="2B592A46"/>
    <w:rsid w:val="2B686C09"/>
    <w:rsid w:val="2B8B34AB"/>
    <w:rsid w:val="2B914C5E"/>
    <w:rsid w:val="2BAA1BD1"/>
    <w:rsid w:val="2BB44220"/>
    <w:rsid w:val="2BB61EA7"/>
    <w:rsid w:val="2BBA6EF5"/>
    <w:rsid w:val="2BC03979"/>
    <w:rsid w:val="2BD40AC3"/>
    <w:rsid w:val="2BEC4F7F"/>
    <w:rsid w:val="2C11705A"/>
    <w:rsid w:val="2C1216FD"/>
    <w:rsid w:val="2C145956"/>
    <w:rsid w:val="2C1F2C4F"/>
    <w:rsid w:val="2C454A9D"/>
    <w:rsid w:val="2C5C2032"/>
    <w:rsid w:val="2C72088D"/>
    <w:rsid w:val="2C865A05"/>
    <w:rsid w:val="2C8B0557"/>
    <w:rsid w:val="2C8B13C8"/>
    <w:rsid w:val="2CAC77BB"/>
    <w:rsid w:val="2CB91C55"/>
    <w:rsid w:val="2CB949C2"/>
    <w:rsid w:val="2CDC7091"/>
    <w:rsid w:val="2D0C2247"/>
    <w:rsid w:val="2D0E231B"/>
    <w:rsid w:val="2D1A1A6B"/>
    <w:rsid w:val="2D1A4915"/>
    <w:rsid w:val="2D400A9F"/>
    <w:rsid w:val="2D7F16B9"/>
    <w:rsid w:val="2DBF0C3E"/>
    <w:rsid w:val="2DBF1601"/>
    <w:rsid w:val="2DBF4C3A"/>
    <w:rsid w:val="2DF04CFF"/>
    <w:rsid w:val="2DF6091F"/>
    <w:rsid w:val="2DF77C3F"/>
    <w:rsid w:val="2DFA6574"/>
    <w:rsid w:val="2E040A80"/>
    <w:rsid w:val="2E095C19"/>
    <w:rsid w:val="2E0F3A78"/>
    <w:rsid w:val="2E1530A6"/>
    <w:rsid w:val="2E190FE7"/>
    <w:rsid w:val="2E2630D7"/>
    <w:rsid w:val="2E2806DD"/>
    <w:rsid w:val="2E2A4425"/>
    <w:rsid w:val="2E57121F"/>
    <w:rsid w:val="2E705752"/>
    <w:rsid w:val="2E8323A5"/>
    <w:rsid w:val="2EA26ABE"/>
    <w:rsid w:val="2EB61295"/>
    <w:rsid w:val="2EEA307E"/>
    <w:rsid w:val="2EED1C00"/>
    <w:rsid w:val="2EF53C20"/>
    <w:rsid w:val="2EFC5DDD"/>
    <w:rsid w:val="2F000662"/>
    <w:rsid w:val="2F002CCF"/>
    <w:rsid w:val="2F0160A3"/>
    <w:rsid w:val="2F0E372D"/>
    <w:rsid w:val="2F2960CC"/>
    <w:rsid w:val="2F2F3D52"/>
    <w:rsid w:val="2F3B7B8B"/>
    <w:rsid w:val="2F805714"/>
    <w:rsid w:val="2FA21231"/>
    <w:rsid w:val="2FAD4759"/>
    <w:rsid w:val="2FCA0967"/>
    <w:rsid w:val="2FCC3CDA"/>
    <w:rsid w:val="2FF117AD"/>
    <w:rsid w:val="2FF95633"/>
    <w:rsid w:val="300F7F13"/>
    <w:rsid w:val="301E3C00"/>
    <w:rsid w:val="30500A5C"/>
    <w:rsid w:val="30565069"/>
    <w:rsid w:val="30752E77"/>
    <w:rsid w:val="3090288F"/>
    <w:rsid w:val="309B0CFB"/>
    <w:rsid w:val="309E4272"/>
    <w:rsid w:val="30DC45E8"/>
    <w:rsid w:val="30DD6027"/>
    <w:rsid w:val="30DE16AB"/>
    <w:rsid w:val="30F44A95"/>
    <w:rsid w:val="30FA21D8"/>
    <w:rsid w:val="311D5B14"/>
    <w:rsid w:val="311E6137"/>
    <w:rsid w:val="31647576"/>
    <w:rsid w:val="31665E5D"/>
    <w:rsid w:val="316D6950"/>
    <w:rsid w:val="31822EAF"/>
    <w:rsid w:val="31A53A0B"/>
    <w:rsid w:val="31B23BA8"/>
    <w:rsid w:val="31CA5CF8"/>
    <w:rsid w:val="31CB26CD"/>
    <w:rsid w:val="31D06A52"/>
    <w:rsid w:val="31F20023"/>
    <w:rsid w:val="31FB60C5"/>
    <w:rsid w:val="32226597"/>
    <w:rsid w:val="324968A9"/>
    <w:rsid w:val="324C02C6"/>
    <w:rsid w:val="325A6834"/>
    <w:rsid w:val="32695D9A"/>
    <w:rsid w:val="327C73E3"/>
    <w:rsid w:val="327E6AD8"/>
    <w:rsid w:val="32946A84"/>
    <w:rsid w:val="329A2AA2"/>
    <w:rsid w:val="32AC53A8"/>
    <w:rsid w:val="32BC6631"/>
    <w:rsid w:val="32D14A7F"/>
    <w:rsid w:val="32F86450"/>
    <w:rsid w:val="330244A4"/>
    <w:rsid w:val="331C390F"/>
    <w:rsid w:val="33610DDA"/>
    <w:rsid w:val="33767D1F"/>
    <w:rsid w:val="337F446B"/>
    <w:rsid w:val="33A156DE"/>
    <w:rsid w:val="33B70359"/>
    <w:rsid w:val="33BA1B32"/>
    <w:rsid w:val="33E20DF0"/>
    <w:rsid w:val="34087429"/>
    <w:rsid w:val="341315B5"/>
    <w:rsid w:val="34147AA7"/>
    <w:rsid w:val="342D3CE2"/>
    <w:rsid w:val="34347DC5"/>
    <w:rsid w:val="34463967"/>
    <w:rsid w:val="345543D1"/>
    <w:rsid w:val="345A7367"/>
    <w:rsid w:val="345D2CD0"/>
    <w:rsid w:val="346C0AEA"/>
    <w:rsid w:val="347F540F"/>
    <w:rsid w:val="349A0B7D"/>
    <w:rsid w:val="34B51A96"/>
    <w:rsid w:val="34DB0CAC"/>
    <w:rsid w:val="34E972FC"/>
    <w:rsid w:val="34FF2166"/>
    <w:rsid w:val="35333FF2"/>
    <w:rsid w:val="353E791E"/>
    <w:rsid w:val="354C7B38"/>
    <w:rsid w:val="354F28B8"/>
    <w:rsid w:val="355D687A"/>
    <w:rsid w:val="356B05FD"/>
    <w:rsid w:val="35744059"/>
    <w:rsid w:val="35771AC2"/>
    <w:rsid w:val="35A0338E"/>
    <w:rsid w:val="35A31A0A"/>
    <w:rsid w:val="35AB5D7D"/>
    <w:rsid w:val="35C154C0"/>
    <w:rsid w:val="35C7584B"/>
    <w:rsid w:val="35DD2AEE"/>
    <w:rsid w:val="35EA6509"/>
    <w:rsid w:val="35F44E5C"/>
    <w:rsid w:val="35F45994"/>
    <w:rsid w:val="3602050E"/>
    <w:rsid w:val="360B4FE4"/>
    <w:rsid w:val="36101A49"/>
    <w:rsid w:val="361077D8"/>
    <w:rsid w:val="36265F04"/>
    <w:rsid w:val="363F4D43"/>
    <w:rsid w:val="36627C0A"/>
    <w:rsid w:val="36693B36"/>
    <w:rsid w:val="366B0AAA"/>
    <w:rsid w:val="366D751E"/>
    <w:rsid w:val="36752210"/>
    <w:rsid w:val="36922B55"/>
    <w:rsid w:val="36991125"/>
    <w:rsid w:val="36B121C7"/>
    <w:rsid w:val="36D27C18"/>
    <w:rsid w:val="36D512A9"/>
    <w:rsid w:val="36E71974"/>
    <w:rsid w:val="36F414F3"/>
    <w:rsid w:val="370974B4"/>
    <w:rsid w:val="370A0C92"/>
    <w:rsid w:val="371E6151"/>
    <w:rsid w:val="37277663"/>
    <w:rsid w:val="37323C2E"/>
    <w:rsid w:val="37357964"/>
    <w:rsid w:val="37446333"/>
    <w:rsid w:val="37446A77"/>
    <w:rsid w:val="37570A4C"/>
    <w:rsid w:val="377049B1"/>
    <w:rsid w:val="377860BA"/>
    <w:rsid w:val="378A731A"/>
    <w:rsid w:val="378E3617"/>
    <w:rsid w:val="37931A90"/>
    <w:rsid w:val="37A4082B"/>
    <w:rsid w:val="37A4627C"/>
    <w:rsid w:val="37A530D5"/>
    <w:rsid w:val="37B5292C"/>
    <w:rsid w:val="37BA6351"/>
    <w:rsid w:val="37C93B72"/>
    <w:rsid w:val="37F311D3"/>
    <w:rsid w:val="37F7242F"/>
    <w:rsid w:val="380579FE"/>
    <w:rsid w:val="382150C9"/>
    <w:rsid w:val="38284CDE"/>
    <w:rsid w:val="382910B1"/>
    <w:rsid w:val="382F19E6"/>
    <w:rsid w:val="383C5D05"/>
    <w:rsid w:val="384C2D57"/>
    <w:rsid w:val="38894DA5"/>
    <w:rsid w:val="38981AB5"/>
    <w:rsid w:val="38A40C18"/>
    <w:rsid w:val="38AB306B"/>
    <w:rsid w:val="38BF2270"/>
    <w:rsid w:val="38C33701"/>
    <w:rsid w:val="38C43916"/>
    <w:rsid w:val="38D504F4"/>
    <w:rsid w:val="38D95A84"/>
    <w:rsid w:val="38E11AA1"/>
    <w:rsid w:val="38E46191"/>
    <w:rsid w:val="393544DD"/>
    <w:rsid w:val="393765BF"/>
    <w:rsid w:val="393962EC"/>
    <w:rsid w:val="394935B8"/>
    <w:rsid w:val="394C557A"/>
    <w:rsid w:val="39514E9C"/>
    <w:rsid w:val="3952190F"/>
    <w:rsid w:val="395753F2"/>
    <w:rsid w:val="39834074"/>
    <w:rsid w:val="39885108"/>
    <w:rsid w:val="399602F5"/>
    <w:rsid w:val="399B5B0D"/>
    <w:rsid w:val="39BB78F7"/>
    <w:rsid w:val="39C46549"/>
    <w:rsid w:val="39CA1A60"/>
    <w:rsid w:val="39D3749A"/>
    <w:rsid w:val="39DD49C2"/>
    <w:rsid w:val="39DD4ACE"/>
    <w:rsid w:val="39EC7454"/>
    <w:rsid w:val="3A4B6DAD"/>
    <w:rsid w:val="3A4E73CA"/>
    <w:rsid w:val="3A796E46"/>
    <w:rsid w:val="3A9A224E"/>
    <w:rsid w:val="3A9D2551"/>
    <w:rsid w:val="3AA97F70"/>
    <w:rsid w:val="3ABF42F5"/>
    <w:rsid w:val="3AFD37D0"/>
    <w:rsid w:val="3B016EE9"/>
    <w:rsid w:val="3B221953"/>
    <w:rsid w:val="3B3A132E"/>
    <w:rsid w:val="3B456D7F"/>
    <w:rsid w:val="3B5E261D"/>
    <w:rsid w:val="3B616FBE"/>
    <w:rsid w:val="3B6F5B73"/>
    <w:rsid w:val="3B7B1D0B"/>
    <w:rsid w:val="3B873119"/>
    <w:rsid w:val="3BA35FC1"/>
    <w:rsid w:val="3BA566FD"/>
    <w:rsid w:val="3BB47D9F"/>
    <w:rsid w:val="3BF10AAD"/>
    <w:rsid w:val="3C070D59"/>
    <w:rsid w:val="3C0F1954"/>
    <w:rsid w:val="3C1E391D"/>
    <w:rsid w:val="3C294498"/>
    <w:rsid w:val="3C333216"/>
    <w:rsid w:val="3C36018F"/>
    <w:rsid w:val="3C4F7D80"/>
    <w:rsid w:val="3C64689F"/>
    <w:rsid w:val="3C740DAA"/>
    <w:rsid w:val="3C7E65EC"/>
    <w:rsid w:val="3C812838"/>
    <w:rsid w:val="3C9E64A0"/>
    <w:rsid w:val="3CAA38C3"/>
    <w:rsid w:val="3CB36CF4"/>
    <w:rsid w:val="3CBA78F5"/>
    <w:rsid w:val="3CC26B63"/>
    <w:rsid w:val="3CD71E34"/>
    <w:rsid w:val="3CE54B9F"/>
    <w:rsid w:val="3D272F24"/>
    <w:rsid w:val="3D58163A"/>
    <w:rsid w:val="3D5A05E2"/>
    <w:rsid w:val="3D5C63D4"/>
    <w:rsid w:val="3D7618FA"/>
    <w:rsid w:val="3D791797"/>
    <w:rsid w:val="3D8522AA"/>
    <w:rsid w:val="3D9A0655"/>
    <w:rsid w:val="3DE548AC"/>
    <w:rsid w:val="3DE653F8"/>
    <w:rsid w:val="3DE72673"/>
    <w:rsid w:val="3DEB1255"/>
    <w:rsid w:val="3E0F25EA"/>
    <w:rsid w:val="3E146F59"/>
    <w:rsid w:val="3E237BCC"/>
    <w:rsid w:val="3E3419DC"/>
    <w:rsid w:val="3E623E46"/>
    <w:rsid w:val="3E7A1C88"/>
    <w:rsid w:val="3E8B095A"/>
    <w:rsid w:val="3E8E6C82"/>
    <w:rsid w:val="3E943FDD"/>
    <w:rsid w:val="3E964314"/>
    <w:rsid w:val="3EAC3BDD"/>
    <w:rsid w:val="3EB767A1"/>
    <w:rsid w:val="3ECF0F50"/>
    <w:rsid w:val="3ECF234A"/>
    <w:rsid w:val="3ED671CD"/>
    <w:rsid w:val="3EE14A57"/>
    <w:rsid w:val="3EE21263"/>
    <w:rsid w:val="3F042848"/>
    <w:rsid w:val="3F144192"/>
    <w:rsid w:val="3F952814"/>
    <w:rsid w:val="3FA41C63"/>
    <w:rsid w:val="3FAB3D87"/>
    <w:rsid w:val="3FAB41A2"/>
    <w:rsid w:val="3FAE47F6"/>
    <w:rsid w:val="3FE763A0"/>
    <w:rsid w:val="400A1CFC"/>
    <w:rsid w:val="40400533"/>
    <w:rsid w:val="405F52CD"/>
    <w:rsid w:val="406D461C"/>
    <w:rsid w:val="406F7D87"/>
    <w:rsid w:val="40825FDB"/>
    <w:rsid w:val="40907287"/>
    <w:rsid w:val="40BD153A"/>
    <w:rsid w:val="40CD7BD8"/>
    <w:rsid w:val="40D07371"/>
    <w:rsid w:val="40F1013C"/>
    <w:rsid w:val="40FD74B7"/>
    <w:rsid w:val="412506DF"/>
    <w:rsid w:val="414F41D7"/>
    <w:rsid w:val="414F7876"/>
    <w:rsid w:val="415A0FEF"/>
    <w:rsid w:val="416C15E7"/>
    <w:rsid w:val="416E039C"/>
    <w:rsid w:val="41800377"/>
    <w:rsid w:val="418B26ED"/>
    <w:rsid w:val="41A63744"/>
    <w:rsid w:val="41AC6BA3"/>
    <w:rsid w:val="41AD5F07"/>
    <w:rsid w:val="41B730A3"/>
    <w:rsid w:val="41B737E0"/>
    <w:rsid w:val="41B77B6D"/>
    <w:rsid w:val="41D1580B"/>
    <w:rsid w:val="41DC5EDF"/>
    <w:rsid w:val="41F24303"/>
    <w:rsid w:val="41F52080"/>
    <w:rsid w:val="420850A2"/>
    <w:rsid w:val="422B1862"/>
    <w:rsid w:val="422E207E"/>
    <w:rsid w:val="42571AE1"/>
    <w:rsid w:val="42697E79"/>
    <w:rsid w:val="42730E0D"/>
    <w:rsid w:val="427409B9"/>
    <w:rsid w:val="42831021"/>
    <w:rsid w:val="42873CB7"/>
    <w:rsid w:val="42954571"/>
    <w:rsid w:val="42A87389"/>
    <w:rsid w:val="42B20846"/>
    <w:rsid w:val="42D67001"/>
    <w:rsid w:val="42E06A10"/>
    <w:rsid w:val="43112BE5"/>
    <w:rsid w:val="431B56C6"/>
    <w:rsid w:val="432E5E21"/>
    <w:rsid w:val="433D2335"/>
    <w:rsid w:val="436A2192"/>
    <w:rsid w:val="439C3431"/>
    <w:rsid w:val="439D0E7C"/>
    <w:rsid w:val="43D67A91"/>
    <w:rsid w:val="43E21F58"/>
    <w:rsid w:val="43F76F69"/>
    <w:rsid w:val="43FC0DB2"/>
    <w:rsid w:val="44584267"/>
    <w:rsid w:val="447B4A66"/>
    <w:rsid w:val="447D4136"/>
    <w:rsid w:val="448B5845"/>
    <w:rsid w:val="44B53006"/>
    <w:rsid w:val="44C87C0F"/>
    <w:rsid w:val="44DF6F1B"/>
    <w:rsid w:val="45027DEC"/>
    <w:rsid w:val="452C35EE"/>
    <w:rsid w:val="454E4F75"/>
    <w:rsid w:val="454E6B7A"/>
    <w:rsid w:val="457736FF"/>
    <w:rsid w:val="45790DCE"/>
    <w:rsid w:val="458B757C"/>
    <w:rsid w:val="45917B8A"/>
    <w:rsid w:val="45E826B2"/>
    <w:rsid w:val="45F4334C"/>
    <w:rsid w:val="4662020E"/>
    <w:rsid w:val="4671651F"/>
    <w:rsid w:val="467A6815"/>
    <w:rsid w:val="468A27AC"/>
    <w:rsid w:val="46981A1E"/>
    <w:rsid w:val="46987D2F"/>
    <w:rsid w:val="46995896"/>
    <w:rsid w:val="46A320AA"/>
    <w:rsid w:val="46A35C12"/>
    <w:rsid w:val="46A82992"/>
    <w:rsid w:val="46AD7A54"/>
    <w:rsid w:val="46B419BE"/>
    <w:rsid w:val="46B640D3"/>
    <w:rsid w:val="46CD1F17"/>
    <w:rsid w:val="46D67289"/>
    <w:rsid w:val="46DD1D17"/>
    <w:rsid w:val="46E1018C"/>
    <w:rsid w:val="46E53AB0"/>
    <w:rsid w:val="46E87946"/>
    <w:rsid w:val="46EB2860"/>
    <w:rsid w:val="46F37479"/>
    <w:rsid w:val="46FC2FE8"/>
    <w:rsid w:val="47033281"/>
    <w:rsid w:val="47073BE8"/>
    <w:rsid w:val="47457188"/>
    <w:rsid w:val="47666951"/>
    <w:rsid w:val="47683159"/>
    <w:rsid w:val="47897A7A"/>
    <w:rsid w:val="478E07A6"/>
    <w:rsid w:val="479D7800"/>
    <w:rsid w:val="47DD6A91"/>
    <w:rsid w:val="47EB0853"/>
    <w:rsid w:val="47EE7C96"/>
    <w:rsid w:val="47F90474"/>
    <w:rsid w:val="47FA20F9"/>
    <w:rsid w:val="480B7A59"/>
    <w:rsid w:val="48111DC2"/>
    <w:rsid w:val="4817770F"/>
    <w:rsid w:val="482D350F"/>
    <w:rsid w:val="483C2A8C"/>
    <w:rsid w:val="48424FA1"/>
    <w:rsid w:val="484647AE"/>
    <w:rsid w:val="484F1901"/>
    <w:rsid w:val="485D5413"/>
    <w:rsid w:val="48740F16"/>
    <w:rsid w:val="487600D4"/>
    <w:rsid w:val="48850976"/>
    <w:rsid w:val="48942964"/>
    <w:rsid w:val="489A106E"/>
    <w:rsid w:val="48A36B1C"/>
    <w:rsid w:val="48A76BEF"/>
    <w:rsid w:val="48AF255D"/>
    <w:rsid w:val="48B16C29"/>
    <w:rsid w:val="48DC218B"/>
    <w:rsid w:val="49075A63"/>
    <w:rsid w:val="4935171C"/>
    <w:rsid w:val="493A5C4C"/>
    <w:rsid w:val="495C3370"/>
    <w:rsid w:val="496409A2"/>
    <w:rsid w:val="49707759"/>
    <w:rsid w:val="49927DFC"/>
    <w:rsid w:val="4995554E"/>
    <w:rsid w:val="499B3646"/>
    <w:rsid w:val="499C3504"/>
    <w:rsid w:val="49A43EE6"/>
    <w:rsid w:val="49C20C6C"/>
    <w:rsid w:val="49CE0C89"/>
    <w:rsid w:val="49D93C20"/>
    <w:rsid w:val="49DA3FD3"/>
    <w:rsid w:val="4A0573EC"/>
    <w:rsid w:val="4A06116C"/>
    <w:rsid w:val="4A09499E"/>
    <w:rsid w:val="4A0E2E82"/>
    <w:rsid w:val="4A1A2846"/>
    <w:rsid w:val="4A221871"/>
    <w:rsid w:val="4A2F5EF8"/>
    <w:rsid w:val="4A342821"/>
    <w:rsid w:val="4A381BA6"/>
    <w:rsid w:val="4A3926E2"/>
    <w:rsid w:val="4A4172CE"/>
    <w:rsid w:val="4A43236C"/>
    <w:rsid w:val="4A4A176A"/>
    <w:rsid w:val="4A6C0FC7"/>
    <w:rsid w:val="4A7413BF"/>
    <w:rsid w:val="4A7D09F3"/>
    <w:rsid w:val="4A840EFE"/>
    <w:rsid w:val="4AB439D0"/>
    <w:rsid w:val="4AC4256B"/>
    <w:rsid w:val="4AD162A8"/>
    <w:rsid w:val="4AD768C6"/>
    <w:rsid w:val="4AE2425D"/>
    <w:rsid w:val="4AF902F5"/>
    <w:rsid w:val="4AF94D42"/>
    <w:rsid w:val="4B376E2E"/>
    <w:rsid w:val="4B385AE2"/>
    <w:rsid w:val="4B705844"/>
    <w:rsid w:val="4B7A3C96"/>
    <w:rsid w:val="4B82716C"/>
    <w:rsid w:val="4B8A2918"/>
    <w:rsid w:val="4B901807"/>
    <w:rsid w:val="4B9B25E4"/>
    <w:rsid w:val="4BAD4CA2"/>
    <w:rsid w:val="4BC456EF"/>
    <w:rsid w:val="4BC647B0"/>
    <w:rsid w:val="4BDF4B49"/>
    <w:rsid w:val="4BE57E16"/>
    <w:rsid w:val="4BE8649D"/>
    <w:rsid w:val="4C0236B4"/>
    <w:rsid w:val="4C192F75"/>
    <w:rsid w:val="4C312ECF"/>
    <w:rsid w:val="4C5035A1"/>
    <w:rsid w:val="4C5F0B5D"/>
    <w:rsid w:val="4C860543"/>
    <w:rsid w:val="4C8E48D8"/>
    <w:rsid w:val="4C974009"/>
    <w:rsid w:val="4CC17C3E"/>
    <w:rsid w:val="4CC42462"/>
    <w:rsid w:val="4CCD5921"/>
    <w:rsid w:val="4CDA21DD"/>
    <w:rsid w:val="4CF04CFC"/>
    <w:rsid w:val="4CFB51DB"/>
    <w:rsid w:val="4D0F1680"/>
    <w:rsid w:val="4D1D6CA0"/>
    <w:rsid w:val="4D2609C6"/>
    <w:rsid w:val="4D2F5C2A"/>
    <w:rsid w:val="4D33448A"/>
    <w:rsid w:val="4D3F4840"/>
    <w:rsid w:val="4D410392"/>
    <w:rsid w:val="4D5C5732"/>
    <w:rsid w:val="4D656800"/>
    <w:rsid w:val="4D705706"/>
    <w:rsid w:val="4D8D11C1"/>
    <w:rsid w:val="4DA53BC8"/>
    <w:rsid w:val="4DA96B6F"/>
    <w:rsid w:val="4DB41824"/>
    <w:rsid w:val="4DD776ED"/>
    <w:rsid w:val="4DDF6E13"/>
    <w:rsid w:val="4DE60E50"/>
    <w:rsid w:val="4DF20FEE"/>
    <w:rsid w:val="4E0939E5"/>
    <w:rsid w:val="4E176DF3"/>
    <w:rsid w:val="4E3A2C21"/>
    <w:rsid w:val="4E4475F5"/>
    <w:rsid w:val="4E672281"/>
    <w:rsid w:val="4E68543B"/>
    <w:rsid w:val="4E694E99"/>
    <w:rsid w:val="4E706458"/>
    <w:rsid w:val="4E795FE9"/>
    <w:rsid w:val="4E9D4AEC"/>
    <w:rsid w:val="4EE86D63"/>
    <w:rsid w:val="4EEE11A3"/>
    <w:rsid w:val="4EFF3444"/>
    <w:rsid w:val="4F0441E5"/>
    <w:rsid w:val="4F155F27"/>
    <w:rsid w:val="4F7278C6"/>
    <w:rsid w:val="4F85034E"/>
    <w:rsid w:val="4F983E33"/>
    <w:rsid w:val="4FAB3627"/>
    <w:rsid w:val="4FB40C2C"/>
    <w:rsid w:val="4FD365FC"/>
    <w:rsid w:val="4FD62D61"/>
    <w:rsid w:val="4FDC6418"/>
    <w:rsid w:val="4FE15781"/>
    <w:rsid w:val="50095827"/>
    <w:rsid w:val="50186BF6"/>
    <w:rsid w:val="502C4247"/>
    <w:rsid w:val="502D25A0"/>
    <w:rsid w:val="503D5373"/>
    <w:rsid w:val="504261AC"/>
    <w:rsid w:val="50B139BD"/>
    <w:rsid w:val="50BE1B1D"/>
    <w:rsid w:val="50C51F05"/>
    <w:rsid w:val="50D228CF"/>
    <w:rsid w:val="50E63519"/>
    <w:rsid w:val="50ED76FB"/>
    <w:rsid w:val="51187610"/>
    <w:rsid w:val="51364C10"/>
    <w:rsid w:val="51375EB3"/>
    <w:rsid w:val="513853CC"/>
    <w:rsid w:val="514C1E16"/>
    <w:rsid w:val="515C30A6"/>
    <w:rsid w:val="51602F61"/>
    <w:rsid w:val="517F00BC"/>
    <w:rsid w:val="519D2F03"/>
    <w:rsid w:val="51BE2EAE"/>
    <w:rsid w:val="51DA5890"/>
    <w:rsid w:val="51E618CF"/>
    <w:rsid w:val="51F96848"/>
    <w:rsid w:val="52073487"/>
    <w:rsid w:val="521D7ED7"/>
    <w:rsid w:val="521E4BEA"/>
    <w:rsid w:val="5239194F"/>
    <w:rsid w:val="52612620"/>
    <w:rsid w:val="52790FD9"/>
    <w:rsid w:val="528C5E23"/>
    <w:rsid w:val="529F0D9B"/>
    <w:rsid w:val="52B77FCE"/>
    <w:rsid w:val="52CF0A4A"/>
    <w:rsid w:val="52DD5B35"/>
    <w:rsid w:val="52FC1C88"/>
    <w:rsid w:val="53155215"/>
    <w:rsid w:val="531621BA"/>
    <w:rsid w:val="531D0F10"/>
    <w:rsid w:val="534246C3"/>
    <w:rsid w:val="53495ACD"/>
    <w:rsid w:val="5366542B"/>
    <w:rsid w:val="536D41AE"/>
    <w:rsid w:val="53794E20"/>
    <w:rsid w:val="5391597D"/>
    <w:rsid w:val="53947DE7"/>
    <w:rsid w:val="53A27D95"/>
    <w:rsid w:val="53A911A1"/>
    <w:rsid w:val="53C8325C"/>
    <w:rsid w:val="53D4618B"/>
    <w:rsid w:val="53E07B00"/>
    <w:rsid w:val="54002BFD"/>
    <w:rsid w:val="542A6856"/>
    <w:rsid w:val="542F7A60"/>
    <w:rsid w:val="5434076E"/>
    <w:rsid w:val="54550067"/>
    <w:rsid w:val="54580F5A"/>
    <w:rsid w:val="5478695B"/>
    <w:rsid w:val="548162D1"/>
    <w:rsid w:val="548810E8"/>
    <w:rsid w:val="549C6534"/>
    <w:rsid w:val="54B62C99"/>
    <w:rsid w:val="54DF688B"/>
    <w:rsid w:val="550E6C32"/>
    <w:rsid w:val="554E0863"/>
    <w:rsid w:val="555737A6"/>
    <w:rsid w:val="55611FED"/>
    <w:rsid w:val="556C1CC4"/>
    <w:rsid w:val="55712540"/>
    <w:rsid w:val="557616C6"/>
    <w:rsid w:val="5577741D"/>
    <w:rsid w:val="558126EC"/>
    <w:rsid w:val="55864EA2"/>
    <w:rsid w:val="55883669"/>
    <w:rsid w:val="559537DA"/>
    <w:rsid w:val="55B403DD"/>
    <w:rsid w:val="55C0140E"/>
    <w:rsid w:val="55CB1A99"/>
    <w:rsid w:val="55CF48E7"/>
    <w:rsid w:val="55D0342A"/>
    <w:rsid w:val="55D849A1"/>
    <w:rsid w:val="55E31A15"/>
    <w:rsid w:val="55E5367A"/>
    <w:rsid w:val="56214A7B"/>
    <w:rsid w:val="562E1F90"/>
    <w:rsid w:val="563B616D"/>
    <w:rsid w:val="56436207"/>
    <w:rsid w:val="566510CB"/>
    <w:rsid w:val="567A6CC0"/>
    <w:rsid w:val="56927DA4"/>
    <w:rsid w:val="56A04928"/>
    <w:rsid w:val="56A50EBB"/>
    <w:rsid w:val="56B96F66"/>
    <w:rsid w:val="56BE75C0"/>
    <w:rsid w:val="56DA3EBA"/>
    <w:rsid w:val="56ED5E03"/>
    <w:rsid w:val="56FB0134"/>
    <w:rsid w:val="57012351"/>
    <w:rsid w:val="57095761"/>
    <w:rsid w:val="57292292"/>
    <w:rsid w:val="572E7E52"/>
    <w:rsid w:val="573B3910"/>
    <w:rsid w:val="57484376"/>
    <w:rsid w:val="574B4B12"/>
    <w:rsid w:val="575425F9"/>
    <w:rsid w:val="57702374"/>
    <w:rsid w:val="579A7C07"/>
    <w:rsid w:val="57A46FEE"/>
    <w:rsid w:val="57B02763"/>
    <w:rsid w:val="57B6547E"/>
    <w:rsid w:val="57D01AAC"/>
    <w:rsid w:val="57DF59C0"/>
    <w:rsid w:val="57DF6500"/>
    <w:rsid w:val="57E73B61"/>
    <w:rsid w:val="5803475B"/>
    <w:rsid w:val="580C05E8"/>
    <w:rsid w:val="580F5BC1"/>
    <w:rsid w:val="5822786C"/>
    <w:rsid w:val="58590DD2"/>
    <w:rsid w:val="586E1447"/>
    <w:rsid w:val="5878285F"/>
    <w:rsid w:val="588509DD"/>
    <w:rsid w:val="58957A8C"/>
    <w:rsid w:val="589F18E4"/>
    <w:rsid w:val="58B8443B"/>
    <w:rsid w:val="58BC4002"/>
    <w:rsid w:val="58D567CE"/>
    <w:rsid w:val="58DF71D7"/>
    <w:rsid w:val="59267EF0"/>
    <w:rsid w:val="59421F7E"/>
    <w:rsid w:val="594935F2"/>
    <w:rsid w:val="595C0946"/>
    <w:rsid w:val="59642A7A"/>
    <w:rsid w:val="596D32B4"/>
    <w:rsid w:val="599148CE"/>
    <w:rsid w:val="59A24ED6"/>
    <w:rsid w:val="59B6531E"/>
    <w:rsid w:val="59B75E8A"/>
    <w:rsid w:val="59BC0F73"/>
    <w:rsid w:val="59BE1CC3"/>
    <w:rsid w:val="59C13A26"/>
    <w:rsid w:val="59D906FD"/>
    <w:rsid w:val="59EB0D06"/>
    <w:rsid w:val="5A0640DE"/>
    <w:rsid w:val="5A1215B1"/>
    <w:rsid w:val="5A123F7C"/>
    <w:rsid w:val="5A1D0AF2"/>
    <w:rsid w:val="5A1F5196"/>
    <w:rsid w:val="5A227353"/>
    <w:rsid w:val="5A440B9D"/>
    <w:rsid w:val="5A5128C3"/>
    <w:rsid w:val="5A5C7772"/>
    <w:rsid w:val="5A6336A1"/>
    <w:rsid w:val="5A6B7C88"/>
    <w:rsid w:val="5A73612A"/>
    <w:rsid w:val="5AA541CF"/>
    <w:rsid w:val="5AA772DA"/>
    <w:rsid w:val="5AB96041"/>
    <w:rsid w:val="5ABC6BFA"/>
    <w:rsid w:val="5ACF7EBC"/>
    <w:rsid w:val="5AD510F0"/>
    <w:rsid w:val="5AF82FCA"/>
    <w:rsid w:val="5B187495"/>
    <w:rsid w:val="5B1B10FA"/>
    <w:rsid w:val="5B1B6725"/>
    <w:rsid w:val="5B2445B5"/>
    <w:rsid w:val="5B492D29"/>
    <w:rsid w:val="5B5D453B"/>
    <w:rsid w:val="5B627DC7"/>
    <w:rsid w:val="5B6C5737"/>
    <w:rsid w:val="5B811784"/>
    <w:rsid w:val="5B896F76"/>
    <w:rsid w:val="5B9C0984"/>
    <w:rsid w:val="5BE23D1E"/>
    <w:rsid w:val="5BE24CD9"/>
    <w:rsid w:val="5BE50680"/>
    <w:rsid w:val="5BE52EE1"/>
    <w:rsid w:val="5BEA2231"/>
    <w:rsid w:val="5BFB70E1"/>
    <w:rsid w:val="5BFD4032"/>
    <w:rsid w:val="5C1832F4"/>
    <w:rsid w:val="5C1A3044"/>
    <w:rsid w:val="5C5E033F"/>
    <w:rsid w:val="5C6875EE"/>
    <w:rsid w:val="5CC43404"/>
    <w:rsid w:val="5CC93DAE"/>
    <w:rsid w:val="5CD31EE3"/>
    <w:rsid w:val="5D2B5629"/>
    <w:rsid w:val="5D454926"/>
    <w:rsid w:val="5D473075"/>
    <w:rsid w:val="5D5864DB"/>
    <w:rsid w:val="5D73393B"/>
    <w:rsid w:val="5D784379"/>
    <w:rsid w:val="5D7B3457"/>
    <w:rsid w:val="5D8B2715"/>
    <w:rsid w:val="5D915AFD"/>
    <w:rsid w:val="5E00720B"/>
    <w:rsid w:val="5E012896"/>
    <w:rsid w:val="5E0A6049"/>
    <w:rsid w:val="5E226508"/>
    <w:rsid w:val="5E395CC7"/>
    <w:rsid w:val="5E5F0687"/>
    <w:rsid w:val="5E783202"/>
    <w:rsid w:val="5E7842EE"/>
    <w:rsid w:val="5EB52E6F"/>
    <w:rsid w:val="5ED10F02"/>
    <w:rsid w:val="5EF04AC4"/>
    <w:rsid w:val="5F09081F"/>
    <w:rsid w:val="5F1111AD"/>
    <w:rsid w:val="5F121A0D"/>
    <w:rsid w:val="5F2C64A1"/>
    <w:rsid w:val="5F39582E"/>
    <w:rsid w:val="5F45602C"/>
    <w:rsid w:val="5F4A58A7"/>
    <w:rsid w:val="5F57147C"/>
    <w:rsid w:val="5F646936"/>
    <w:rsid w:val="5F764A5E"/>
    <w:rsid w:val="5F8C52DB"/>
    <w:rsid w:val="5FA00A10"/>
    <w:rsid w:val="5FA4374A"/>
    <w:rsid w:val="5FA4380A"/>
    <w:rsid w:val="5FB25387"/>
    <w:rsid w:val="5FB458FD"/>
    <w:rsid w:val="5FC53509"/>
    <w:rsid w:val="5FD20829"/>
    <w:rsid w:val="5FFE6C22"/>
    <w:rsid w:val="60000309"/>
    <w:rsid w:val="600B6B90"/>
    <w:rsid w:val="600C3224"/>
    <w:rsid w:val="60143AD3"/>
    <w:rsid w:val="603771DA"/>
    <w:rsid w:val="60551CCC"/>
    <w:rsid w:val="6085543E"/>
    <w:rsid w:val="60907882"/>
    <w:rsid w:val="609517E9"/>
    <w:rsid w:val="60C5483E"/>
    <w:rsid w:val="60C867C5"/>
    <w:rsid w:val="60CD4D88"/>
    <w:rsid w:val="60D3354A"/>
    <w:rsid w:val="60DB0800"/>
    <w:rsid w:val="60DE0DB6"/>
    <w:rsid w:val="60E54273"/>
    <w:rsid w:val="61067A64"/>
    <w:rsid w:val="6112529A"/>
    <w:rsid w:val="611F0B09"/>
    <w:rsid w:val="61200AAF"/>
    <w:rsid w:val="616E223F"/>
    <w:rsid w:val="61963257"/>
    <w:rsid w:val="619C38B4"/>
    <w:rsid w:val="61A4486B"/>
    <w:rsid w:val="61BC23E5"/>
    <w:rsid w:val="61D21120"/>
    <w:rsid w:val="61F3667F"/>
    <w:rsid w:val="62185165"/>
    <w:rsid w:val="623C76C6"/>
    <w:rsid w:val="62460FCD"/>
    <w:rsid w:val="62480FF0"/>
    <w:rsid w:val="624B14C1"/>
    <w:rsid w:val="62630C6B"/>
    <w:rsid w:val="627301E8"/>
    <w:rsid w:val="62BA3B2B"/>
    <w:rsid w:val="62C37511"/>
    <w:rsid w:val="62D11C3F"/>
    <w:rsid w:val="62E157FC"/>
    <w:rsid w:val="62E81148"/>
    <w:rsid w:val="62F76986"/>
    <w:rsid w:val="63162D22"/>
    <w:rsid w:val="63340EAE"/>
    <w:rsid w:val="634B6A95"/>
    <w:rsid w:val="63615D3E"/>
    <w:rsid w:val="636C62BA"/>
    <w:rsid w:val="63821D61"/>
    <w:rsid w:val="63827E36"/>
    <w:rsid w:val="63842477"/>
    <w:rsid w:val="63A85CD1"/>
    <w:rsid w:val="63B02C42"/>
    <w:rsid w:val="63C51AD9"/>
    <w:rsid w:val="63C54411"/>
    <w:rsid w:val="63CD27C8"/>
    <w:rsid w:val="63CE5B8D"/>
    <w:rsid w:val="63CF2629"/>
    <w:rsid w:val="63E263F4"/>
    <w:rsid w:val="63E418C9"/>
    <w:rsid w:val="643F3FFC"/>
    <w:rsid w:val="64706C6F"/>
    <w:rsid w:val="649A6134"/>
    <w:rsid w:val="649D2569"/>
    <w:rsid w:val="64A51362"/>
    <w:rsid w:val="64A55A03"/>
    <w:rsid w:val="64B453B1"/>
    <w:rsid w:val="64E5007E"/>
    <w:rsid w:val="651A5C6A"/>
    <w:rsid w:val="65403733"/>
    <w:rsid w:val="655754CB"/>
    <w:rsid w:val="655E2D72"/>
    <w:rsid w:val="65833C4F"/>
    <w:rsid w:val="658B37B6"/>
    <w:rsid w:val="65972C85"/>
    <w:rsid w:val="659C17EE"/>
    <w:rsid w:val="65D70270"/>
    <w:rsid w:val="66032E7B"/>
    <w:rsid w:val="661026AA"/>
    <w:rsid w:val="663D054E"/>
    <w:rsid w:val="6679372B"/>
    <w:rsid w:val="66980BF6"/>
    <w:rsid w:val="66B81454"/>
    <w:rsid w:val="66BE1292"/>
    <w:rsid w:val="66BF76F1"/>
    <w:rsid w:val="66DC5BF8"/>
    <w:rsid w:val="66E173F9"/>
    <w:rsid w:val="66E3226C"/>
    <w:rsid w:val="66EC5E36"/>
    <w:rsid w:val="67181932"/>
    <w:rsid w:val="672A4901"/>
    <w:rsid w:val="67441B08"/>
    <w:rsid w:val="67513E69"/>
    <w:rsid w:val="675A17FE"/>
    <w:rsid w:val="678A44B2"/>
    <w:rsid w:val="678C1D52"/>
    <w:rsid w:val="67C149C0"/>
    <w:rsid w:val="67C7427D"/>
    <w:rsid w:val="67CA7967"/>
    <w:rsid w:val="67D9695E"/>
    <w:rsid w:val="67DC5CEA"/>
    <w:rsid w:val="67DF18A0"/>
    <w:rsid w:val="680965F8"/>
    <w:rsid w:val="68240EAA"/>
    <w:rsid w:val="684F3575"/>
    <w:rsid w:val="6850356A"/>
    <w:rsid w:val="685465AC"/>
    <w:rsid w:val="687442EE"/>
    <w:rsid w:val="689B3E14"/>
    <w:rsid w:val="689F2FA0"/>
    <w:rsid w:val="68AD26AA"/>
    <w:rsid w:val="68BC14B0"/>
    <w:rsid w:val="68C20D16"/>
    <w:rsid w:val="68DD619B"/>
    <w:rsid w:val="68FD5593"/>
    <w:rsid w:val="691B307E"/>
    <w:rsid w:val="693167DE"/>
    <w:rsid w:val="6934218F"/>
    <w:rsid w:val="693C5AA5"/>
    <w:rsid w:val="693E13B7"/>
    <w:rsid w:val="6951205B"/>
    <w:rsid w:val="6953741D"/>
    <w:rsid w:val="69731101"/>
    <w:rsid w:val="697D087B"/>
    <w:rsid w:val="69A7770D"/>
    <w:rsid w:val="69AC0B64"/>
    <w:rsid w:val="69B27C94"/>
    <w:rsid w:val="69BA2288"/>
    <w:rsid w:val="69D537ED"/>
    <w:rsid w:val="69DC3AC1"/>
    <w:rsid w:val="69F224F8"/>
    <w:rsid w:val="69F3790F"/>
    <w:rsid w:val="6A12415B"/>
    <w:rsid w:val="6A2750C5"/>
    <w:rsid w:val="6A290AA5"/>
    <w:rsid w:val="6A2A46CE"/>
    <w:rsid w:val="6A3F4FDB"/>
    <w:rsid w:val="6A532FF6"/>
    <w:rsid w:val="6A7174A5"/>
    <w:rsid w:val="6A72508F"/>
    <w:rsid w:val="6A732254"/>
    <w:rsid w:val="6A774894"/>
    <w:rsid w:val="6A8C3EFF"/>
    <w:rsid w:val="6A937D23"/>
    <w:rsid w:val="6A9B5915"/>
    <w:rsid w:val="6A9B7735"/>
    <w:rsid w:val="6A9F5C78"/>
    <w:rsid w:val="6AB45A03"/>
    <w:rsid w:val="6ABE4FFD"/>
    <w:rsid w:val="6AED013C"/>
    <w:rsid w:val="6AF63F29"/>
    <w:rsid w:val="6B285741"/>
    <w:rsid w:val="6B340EF1"/>
    <w:rsid w:val="6B3D06AC"/>
    <w:rsid w:val="6B444BB7"/>
    <w:rsid w:val="6B4B2C3B"/>
    <w:rsid w:val="6B5B0A52"/>
    <w:rsid w:val="6B5D2504"/>
    <w:rsid w:val="6B95396B"/>
    <w:rsid w:val="6BBB00B1"/>
    <w:rsid w:val="6BC03721"/>
    <w:rsid w:val="6BCF2DCA"/>
    <w:rsid w:val="6BDD0493"/>
    <w:rsid w:val="6BDE54AC"/>
    <w:rsid w:val="6BF25C39"/>
    <w:rsid w:val="6C06150E"/>
    <w:rsid w:val="6C263A06"/>
    <w:rsid w:val="6C3A624E"/>
    <w:rsid w:val="6C431738"/>
    <w:rsid w:val="6C505966"/>
    <w:rsid w:val="6C5D04BB"/>
    <w:rsid w:val="6C782BF2"/>
    <w:rsid w:val="6C846FC1"/>
    <w:rsid w:val="6C8E4315"/>
    <w:rsid w:val="6C95615F"/>
    <w:rsid w:val="6CA72F29"/>
    <w:rsid w:val="6CA94419"/>
    <w:rsid w:val="6CB242A2"/>
    <w:rsid w:val="6CE0612A"/>
    <w:rsid w:val="6CE269D3"/>
    <w:rsid w:val="6CE6454C"/>
    <w:rsid w:val="6CED284E"/>
    <w:rsid w:val="6CF04EB7"/>
    <w:rsid w:val="6CF17872"/>
    <w:rsid w:val="6CF76712"/>
    <w:rsid w:val="6D033EFD"/>
    <w:rsid w:val="6D274676"/>
    <w:rsid w:val="6D2F4B50"/>
    <w:rsid w:val="6D3C14B2"/>
    <w:rsid w:val="6D436625"/>
    <w:rsid w:val="6D652ED0"/>
    <w:rsid w:val="6D662717"/>
    <w:rsid w:val="6DA71839"/>
    <w:rsid w:val="6DB20233"/>
    <w:rsid w:val="6DD3363F"/>
    <w:rsid w:val="6DF161CB"/>
    <w:rsid w:val="6E0F320E"/>
    <w:rsid w:val="6E1B4CD0"/>
    <w:rsid w:val="6E376A3A"/>
    <w:rsid w:val="6E3F1C0F"/>
    <w:rsid w:val="6E633CB5"/>
    <w:rsid w:val="6E72570E"/>
    <w:rsid w:val="6E8A0AE2"/>
    <w:rsid w:val="6EAB29FB"/>
    <w:rsid w:val="6EB32B7F"/>
    <w:rsid w:val="6EB46F18"/>
    <w:rsid w:val="6EBD4DFF"/>
    <w:rsid w:val="6EC73357"/>
    <w:rsid w:val="6EE40ECF"/>
    <w:rsid w:val="6EE939F2"/>
    <w:rsid w:val="6F021829"/>
    <w:rsid w:val="6F28474F"/>
    <w:rsid w:val="6F384951"/>
    <w:rsid w:val="6F607895"/>
    <w:rsid w:val="6F61040C"/>
    <w:rsid w:val="6F6776E1"/>
    <w:rsid w:val="6F9C5D71"/>
    <w:rsid w:val="6FA3781E"/>
    <w:rsid w:val="6FE53444"/>
    <w:rsid w:val="6FF1528E"/>
    <w:rsid w:val="700C0460"/>
    <w:rsid w:val="70170F2B"/>
    <w:rsid w:val="701E2FAB"/>
    <w:rsid w:val="70387A8F"/>
    <w:rsid w:val="70767F2C"/>
    <w:rsid w:val="707E62BB"/>
    <w:rsid w:val="709E640C"/>
    <w:rsid w:val="70AD71F1"/>
    <w:rsid w:val="70B56633"/>
    <w:rsid w:val="70BB0D3E"/>
    <w:rsid w:val="70CF3906"/>
    <w:rsid w:val="70D91094"/>
    <w:rsid w:val="70DB76EF"/>
    <w:rsid w:val="710155BB"/>
    <w:rsid w:val="712D2ADB"/>
    <w:rsid w:val="71431855"/>
    <w:rsid w:val="7143374A"/>
    <w:rsid w:val="71536701"/>
    <w:rsid w:val="716B5F96"/>
    <w:rsid w:val="717A6593"/>
    <w:rsid w:val="718B3A9F"/>
    <w:rsid w:val="71936186"/>
    <w:rsid w:val="71AF2F66"/>
    <w:rsid w:val="71C96C07"/>
    <w:rsid w:val="71CD28DD"/>
    <w:rsid w:val="71D00811"/>
    <w:rsid w:val="71DA7C5F"/>
    <w:rsid w:val="71DE4C74"/>
    <w:rsid w:val="71E346E4"/>
    <w:rsid w:val="71E767FC"/>
    <w:rsid w:val="71EF5D41"/>
    <w:rsid w:val="72056436"/>
    <w:rsid w:val="72130B93"/>
    <w:rsid w:val="723749D7"/>
    <w:rsid w:val="724E54F1"/>
    <w:rsid w:val="727334E4"/>
    <w:rsid w:val="727B2E39"/>
    <w:rsid w:val="72827328"/>
    <w:rsid w:val="728B509F"/>
    <w:rsid w:val="728F0A31"/>
    <w:rsid w:val="72B751B8"/>
    <w:rsid w:val="72CE3184"/>
    <w:rsid w:val="72D456A5"/>
    <w:rsid w:val="72E70D52"/>
    <w:rsid w:val="72EA6B66"/>
    <w:rsid w:val="72F77AD6"/>
    <w:rsid w:val="731C28E7"/>
    <w:rsid w:val="732A4A9B"/>
    <w:rsid w:val="73343997"/>
    <w:rsid w:val="733C723A"/>
    <w:rsid w:val="733C7C6A"/>
    <w:rsid w:val="73690216"/>
    <w:rsid w:val="736A02D8"/>
    <w:rsid w:val="737D2A47"/>
    <w:rsid w:val="739B1EFF"/>
    <w:rsid w:val="73A16D22"/>
    <w:rsid w:val="73B1400F"/>
    <w:rsid w:val="73BA064C"/>
    <w:rsid w:val="73BB3C6E"/>
    <w:rsid w:val="73CE1997"/>
    <w:rsid w:val="73EC7C9D"/>
    <w:rsid w:val="740A54A9"/>
    <w:rsid w:val="741076D1"/>
    <w:rsid w:val="74215D04"/>
    <w:rsid w:val="742871CB"/>
    <w:rsid w:val="742A0965"/>
    <w:rsid w:val="742D6DB6"/>
    <w:rsid w:val="74775754"/>
    <w:rsid w:val="74B06962"/>
    <w:rsid w:val="74B32215"/>
    <w:rsid w:val="74C46840"/>
    <w:rsid w:val="74D71DDE"/>
    <w:rsid w:val="74E11F86"/>
    <w:rsid w:val="74FB509B"/>
    <w:rsid w:val="74FB6035"/>
    <w:rsid w:val="750934A8"/>
    <w:rsid w:val="750A15E4"/>
    <w:rsid w:val="752B3381"/>
    <w:rsid w:val="75594581"/>
    <w:rsid w:val="75625A16"/>
    <w:rsid w:val="75663FD1"/>
    <w:rsid w:val="759B0C43"/>
    <w:rsid w:val="75C123A7"/>
    <w:rsid w:val="75CD2584"/>
    <w:rsid w:val="75F75D00"/>
    <w:rsid w:val="75F8074C"/>
    <w:rsid w:val="7600209C"/>
    <w:rsid w:val="760049B0"/>
    <w:rsid w:val="76070A73"/>
    <w:rsid w:val="763B42FB"/>
    <w:rsid w:val="763F1F92"/>
    <w:rsid w:val="76424474"/>
    <w:rsid w:val="76452780"/>
    <w:rsid w:val="76690632"/>
    <w:rsid w:val="767469E2"/>
    <w:rsid w:val="76775F0B"/>
    <w:rsid w:val="767E5E0B"/>
    <w:rsid w:val="76894819"/>
    <w:rsid w:val="76932317"/>
    <w:rsid w:val="76B153BA"/>
    <w:rsid w:val="76C72CA0"/>
    <w:rsid w:val="76ED0EF4"/>
    <w:rsid w:val="76F2295F"/>
    <w:rsid w:val="76F50A9F"/>
    <w:rsid w:val="76FD2D1D"/>
    <w:rsid w:val="77062A6E"/>
    <w:rsid w:val="77187F65"/>
    <w:rsid w:val="7729766A"/>
    <w:rsid w:val="773A62B8"/>
    <w:rsid w:val="774B3934"/>
    <w:rsid w:val="777B5F51"/>
    <w:rsid w:val="777D53E6"/>
    <w:rsid w:val="77847A56"/>
    <w:rsid w:val="778F49BD"/>
    <w:rsid w:val="77966F4C"/>
    <w:rsid w:val="77A75021"/>
    <w:rsid w:val="77B4796D"/>
    <w:rsid w:val="77B8689C"/>
    <w:rsid w:val="77C2510C"/>
    <w:rsid w:val="77C833A2"/>
    <w:rsid w:val="78036043"/>
    <w:rsid w:val="781838FF"/>
    <w:rsid w:val="781B3886"/>
    <w:rsid w:val="78375EBD"/>
    <w:rsid w:val="7888219B"/>
    <w:rsid w:val="788908C8"/>
    <w:rsid w:val="78BC539D"/>
    <w:rsid w:val="78C134B0"/>
    <w:rsid w:val="78D97F0E"/>
    <w:rsid w:val="78DA009A"/>
    <w:rsid w:val="78DC2FA9"/>
    <w:rsid w:val="78E60810"/>
    <w:rsid w:val="78F40C87"/>
    <w:rsid w:val="78FC7FC2"/>
    <w:rsid w:val="79027069"/>
    <w:rsid w:val="791251C7"/>
    <w:rsid w:val="791474A8"/>
    <w:rsid w:val="79176206"/>
    <w:rsid w:val="79213934"/>
    <w:rsid w:val="7940572D"/>
    <w:rsid w:val="79461391"/>
    <w:rsid w:val="794B4D74"/>
    <w:rsid w:val="79501475"/>
    <w:rsid w:val="795A5499"/>
    <w:rsid w:val="796E35F2"/>
    <w:rsid w:val="7971290E"/>
    <w:rsid w:val="79A15149"/>
    <w:rsid w:val="79A37CCA"/>
    <w:rsid w:val="79C24EDF"/>
    <w:rsid w:val="79C95AED"/>
    <w:rsid w:val="79E12ED9"/>
    <w:rsid w:val="79E352FF"/>
    <w:rsid w:val="79ED6701"/>
    <w:rsid w:val="79FB2D0B"/>
    <w:rsid w:val="7A0F1525"/>
    <w:rsid w:val="7A4D07BA"/>
    <w:rsid w:val="7A5863D3"/>
    <w:rsid w:val="7A64499E"/>
    <w:rsid w:val="7A6656B6"/>
    <w:rsid w:val="7A723F72"/>
    <w:rsid w:val="7A743D9C"/>
    <w:rsid w:val="7A9123B7"/>
    <w:rsid w:val="7A9711EE"/>
    <w:rsid w:val="7A9C3E5C"/>
    <w:rsid w:val="7AA952CF"/>
    <w:rsid w:val="7ACD2D7F"/>
    <w:rsid w:val="7AD27B42"/>
    <w:rsid w:val="7AE774AA"/>
    <w:rsid w:val="7B18546A"/>
    <w:rsid w:val="7B214978"/>
    <w:rsid w:val="7B4A5781"/>
    <w:rsid w:val="7B603C7C"/>
    <w:rsid w:val="7B6E2AB1"/>
    <w:rsid w:val="7B771CED"/>
    <w:rsid w:val="7B9422CC"/>
    <w:rsid w:val="7BA521BC"/>
    <w:rsid w:val="7BB145C1"/>
    <w:rsid w:val="7BB2241E"/>
    <w:rsid w:val="7BC17EBE"/>
    <w:rsid w:val="7BC43666"/>
    <w:rsid w:val="7BC8293C"/>
    <w:rsid w:val="7BC87053"/>
    <w:rsid w:val="7BDE0174"/>
    <w:rsid w:val="7BE131F6"/>
    <w:rsid w:val="7BF11348"/>
    <w:rsid w:val="7C613AEC"/>
    <w:rsid w:val="7C815D2A"/>
    <w:rsid w:val="7C831756"/>
    <w:rsid w:val="7CB62523"/>
    <w:rsid w:val="7CE70935"/>
    <w:rsid w:val="7CF84A31"/>
    <w:rsid w:val="7CFC44C2"/>
    <w:rsid w:val="7D013B39"/>
    <w:rsid w:val="7D0826CA"/>
    <w:rsid w:val="7D130509"/>
    <w:rsid w:val="7D1946C0"/>
    <w:rsid w:val="7D2A5CCB"/>
    <w:rsid w:val="7D401CAA"/>
    <w:rsid w:val="7D64087E"/>
    <w:rsid w:val="7D7F5298"/>
    <w:rsid w:val="7DAB10BD"/>
    <w:rsid w:val="7DD7657D"/>
    <w:rsid w:val="7DF025EC"/>
    <w:rsid w:val="7DF464FC"/>
    <w:rsid w:val="7E006A11"/>
    <w:rsid w:val="7E1C55F3"/>
    <w:rsid w:val="7E347694"/>
    <w:rsid w:val="7E3B5911"/>
    <w:rsid w:val="7E495416"/>
    <w:rsid w:val="7E497873"/>
    <w:rsid w:val="7E750E81"/>
    <w:rsid w:val="7E9044A6"/>
    <w:rsid w:val="7E922E52"/>
    <w:rsid w:val="7E953DDB"/>
    <w:rsid w:val="7EA87297"/>
    <w:rsid w:val="7EC57DB4"/>
    <w:rsid w:val="7ED55364"/>
    <w:rsid w:val="7ED61FF8"/>
    <w:rsid w:val="7EDE52DA"/>
    <w:rsid w:val="7EEC4A0C"/>
    <w:rsid w:val="7EEF5C7E"/>
    <w:rsid w:val="7F085E6E"/>
    <w:rsid w:val="7F090A0E"/>
    <w:rsid w:val="7F0C0396"/>
    <w:rsid w:val="7F160CCE"/>
    <w:rsid w:val="7F18438A"/>
    <w:rsid w:val="7F292718"/>
    <w:rsid w:val="7FDA2CD0"/>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6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67"/>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63"/>
    <w:qFormat/>
    <w:uiPriority w:val="0"/>
    <w:pPr>
      <w:spacing w:before="120"/>
      <w:outlineLvl w:val="2"/>
    </w:pPr>
    <w:rPr>
      <w:sz w:val="28"/>
    </w:rPr>
  </w:style>
  <w:style w:type="paragraph" w:styleId="5">
    <w:name w:val="heading 4"/>
    <w:basedOn w:val="4"/>
    <w:next w:val="1"/>
    <w:link w:val="5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54"/>
    <w:qFormat/>
    <w:uiPriority w:val="0"/>
    <w:pPr>
      <w:tabs>
        <w:tab w:val="left" w:pos="2144"/>
        <w:tab w:val="clear" w:pos="2000"/>
      </w:tabs>
      <w:ind w:left="2144" w:hanging="1008"/>
      <w:outlineLvl w:val="4"/>
    </w:pPr>
    <w:rPr>
      <w:sz w:val="22"/>
    </w:rPr>
  </w:style>
  <w:style w:type="paragraph" w:styleId="7">
    <w:name w:val="heading 6"/>
    <w:basedOn w:val="1"/>
    <w:next w:val="1"/>
    <w:link w:val="47"/>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5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2"/>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4"/>
    <w:qFormat/>
    <w:uiPriority w:val="0"/>
    <w:pPr>
      <w:tabs>
        <w:tab w:val="left" w:pos="2720"/>
        <w:tab w:val="clear" w:pos="2576"/>
      </w:tabs>
      <w:ind w:left="2720" w:hanging="1584"/>
      <w:outlineLvl w:val="8"/>
    </w:pPr>
  </w:style>
  <w:style w:type="character" w:default="1" w:styleId="21">
    <w:name w:val="Default Paragraph Font"/>
    <w:unhideWhenUsed/>
    <w:uiPriority w:val="1"/>
  </w:style>
  <w:style w:type="table" w:default="1" w:styleId="25">
    <w:name w:val="Normal Table"/>
    <w:unhideWhenUsed/>
    <w:qFormat/>
    <w:uiPriority w:val="99"/>
    <w:tblPr>
      <w:tblStyle w:val="25"/>
      <w:tblLayout w:type="fixed"/>
      <w:tblCellMar>
        <w:top w:w="0" w:type="dxa"/>
        <w:left w:w="108" w:type="dxa"/>
        <w:bottom w:w="0" w:type="dxa"/>
        <w:right w:w="108" w:type="dxa"/>
      </w:tblCellMar>
    </w:tblPr>
  </w:style>
  <w:style w:type="paragraph" w:styleId="11">
    <w:name w:val="annotation subject"/>
    <w:basedOn w:val="12"/>
    <w:next w:val="12"/>
    <w:link w:val="56"/>
    <w:unhideWhenUsed/>
    <w:uiPriority w:val="99"/>
    <w:rPr>
      <w:b/>
      <w:bCs/>
    </w:rPr>
  </w:style>
  <w:style w:type="paragraph" w:styleId="12">
    <w:name w:val="annotation text"/>
    <w:basedOn w:val="1"/>
    <w:link w:val="52"/>
    <w:unhideWhenUsed/>
    <w:uiPriority w:val="99"/>
    <w:rPr>
      <w:sz w:val="20"/>
      <w:szCs w:val="20"/>
    </w:rPr>
  </w:style>
  <w:style w:type="paragraph" w:styleId="13">
    <w:name w:val="caption"/>
    <w:basedOn w:val="1"/>
    <w:next w:val="1"/>
    <w:link w:val="61"/>
    <w:qFormat/>
    <w:uiPriority w:val="0"/>
    <w:pPr>
      <w:widowControl/>
      <w:spacing w:before="152" w:after="160"/>
    </w:pPr>
    <w:rPr>
      <w:rFonts w:ascii="Arial" w:hAnsi="Arial" w:eastAsia="黑体"/>
      <w:kern w:val="0"/>
      <w:sz w:val="20"/>
      <w:szCs w:val="20"/>
    </w:rPr>
  </w:style>
  <w:style w:type="paragraph" w:styleId="14">
    <w:name w:val="Document Map"/>
    <w:basedOn w:val="1"/>
    <w:link w:val="50"/>
    <w:unhideWhenUsed/>
    <w:uiPriority w:val="99"/>
    <w:rPr>
      <w:rFonts w:ascii="宋体"/>
      <w:kern w:val="0"/>
      <w:sz w:val="18"/>
      <w:szCs w:val="18"/>
    </w:rPr>
  </w:style>
  <w:style w:type="paragraph" w:styleId="15">
    <w:name w:val="Body Text"/>
    <w:basedOn w:val="1"/>
    <w:link w:val="74"/>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46"/>
    <w:unhideWhenUsed/>
    <w:uiPriority w:val="99"/>
    <w:rPr>
      <w:sz w:val="18"/>
      <w:szCs w:val="18"/>
    </w:rPr>
  </w:style>
  <w:style w:type="paragraph" w:styleId="17">
    <w:name w:val="footer"/>
    <w:basedOn w:val="18"/>
    <w:link w:val="57"/>
    <w:unhideWhenUsed/>
    <w:uiPriority w:val="99"/>
    <w:pPr>
      <w:tabs>
        <w:tab w:val="center" w:pos="4153"/>
        <w:tab w:val="right" w:pos="8306"/>
      </w:tabs>
      <w:snapToGrid w:val="0"/>
      <w:jc w:val="left"/>
    </w:pPr>
    <w:rPr>
      <w:kern w:val="0"/>
      <w:sz w:val="18"/>
      <w:szCs w:val="18"/>
    </w:rPr>
  </w:style>
  <w:style w:type="paragraph" w:styleId="18">
    <w:name w:val="header"/>
    <w:basedOn w:val="1"/>
    <w:link w:val="73"/>
    <w:unhideWhenUsed/>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uiPriority w:val="99"/>
    <w:pPr>
      <w:ind w:left="200" w:hanging="200" w:hangingChars="200"/>
      <w:contextualSpacing/>
    </w:pPr>
  </w:style>
  <w:style w:type="paragraph" w:styleId="20">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22">
    <w:name w:val="Strong"/>
    <w:qFormat/>
    <w:uiPriority w:val="0"/>
    <w:rPr>
      <w:rFonts w:ascii="Calibri" w:hAnsi="Calibri" w:eastAsia="宋体" w:cs="Calibri"/>
      <w:bCs/>
      <w:sz w:val="24"/>
    </w:rPr>
  </w:style>
  <w:style w:type="character" w:styleId="23">
    <w:name w:val="Hyperlink"/>
    <w:uiPriority w:val="0"/>
    <w:rPr>
      <w:color w:val="0000FF"/>
      <w:u w:val="single"/>
    </w:rPr>
  </w:style>
  <w:style w:type="character" w:styleId="24">
    <w:name w:val="annotation reference"/>
    <w:unhideWhenUsed/>
    <w:uiPriority w:val="99"/>
    <w:rPr>
      <w:sz w:val="16"/>
      <w:szCs w:val="16"/>
    </w:rPr>
  </w:style>
  <w:style w:type="table" w:styleId="26">
    <w:name w:val="Table Grid"/>
    <w:basedOn w:val="25"/>
    <w:uiPriority w:val="0"/>
    <w:rPr>
      <w:rFonts w:ascii="Times New Roman" w:hAnsi="Times New Roman"/>
    </w:rPr>
    <w:tblPr>
      <w:tblStyle w:val="2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
    <w:name w:val="char char"/>
    <w:basedOn w:val="28"/>
    <w:link w:val="51"/>
    <w:qFormat/>
    <w:uiPriority w:val="0"/>
    <w:pPr>
      <w:spacing w:before="180" w:after="120"/>
      <w:outlineLvl w:val="1"/>
    </w:pPr>
    <w:rPr>
      <w:rFonts w:ascii="Arial" w:hAnsi="Arial"/>
      <w:sz w:val="28"/>
      <w:szCs w:val="32"/>
    </w:rPr>
  </w:style>
  <w:style w:type="paragraph" w:customStyle="1" w:styleId="28">
    <w:name w:val="正文1"/>
    <w:basedOn w:val="1"/>
    <w:link w:val="65"/>
    <w:qFormat/>
    <w:uiPriority w:val="0"/>
    <w:pPr>
      <w:adjustRightInd w:val="0"/>
      <w:spacing w:after="180"/>
    </w:pPr>
    <w:rPr>
      <w:kern w:val="0"/>
      <w:sz w:val="20"/>
      <w:szCs w:val="20"/>
    </w:rPr>
  </w:style>
  <w:style w:type="paragraph" w:customStyle="1" w:styleId="29">
    <w:name w:val="TAL"/>
    <w:basedOn w:val="1"/>
    <w:link w:val="60"/>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0">
    <w:name w:val="TH"/>
    <w:basedOn w:val="1"/>
    <w:link w:val="72"/>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31">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b/>
      <w:lang w:val="en-GB" w:eastAsia="en-US" w:bidi="ar-SA"/>
    </w:rPr>
  </w:style>
  <w:style w:type="paragraph" w:customStyle="1" w:styleId="32">
    <w:name w:val="Char"/>
    <w:basedOn w:val="33"/>
    <w:link w:val="55"/>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styleId="33">
    <w:name w:val="List Paragraph"/>
    <w:basedOn w:val="1"/>
    <w:qFormat/>
    <w:uiPriority w:val="34"/>
    <w:pPr>
      <w:ind w:firstLine="420" w:firstLineChars="200"/>
    </w:pPr>
  </w:style>
  <w:style w:type="paragraph" w:customStyle="1" w:styleId="34">
    <w:name w:val="TAC"/>
    <w:basedOn w:val="29"/>
    <w:link w:val="68"/>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35">
    <w:name w:val="_Style 0"/>
    <w:qFormat/>
    <w:uiPriority w:val="1"/>
    <w:pPr>
      <w:widowControl w:val="0"/>
      <w:jc w:val="both"/>
    </w:pPr>
    <w:rPr>
      <w:kern w:val="2"/>
      <w:sz w:val="21"/>
      <w:szCs w:val="24"/>
      <w:lang w:val="en-US" w:eastAsia="zh-CN" w:bidi="ar-SA"/>
    </w:rPr>
  </w:style>
  <w:style w:type="paragraph" w:customStyle="1" w:styleId="36">
    <w:name w:val="char char char"/>
    <w:basedOn w:val="28"/>
    <w:link w:val="49"/>
    <w:qFormat/>
    <w:uiPriority w:val="0"/>
    <w:pPr>
      <w:keepNext/>
      <w:keepLines/>
      <w:widowControl/>
      <w:spacing w:before="120"/>
      <w:ind w:firstLine="40"/>
      <w:outlineLvl w:val="2"/>
    </w:pPr>
    <w:rPr>
      <w:rFonts w:ascii="Arial" w:hAnsi="Arial"/>
      <w:sz w:val="24"/>
      <w:szCs w:val="28"/>
    </w:rPr>
  </w:style>
  <w:style w:type="paragraph" w:customStyle="1" w:styleId="37">
    <w:name w:val="TAH"/>
    <w:basedOn w:val="34"/>
    <w:link w:val="48"/>
    <w:uiPriority w:val="0"/>
    <w:rPr>
      <w:b/>
    </w:rPr>
  </w:style>
  <w:style w:type="paragraph" w:customStyle="1" w:styleId="38">
    <w:name w:val="EQ"/>
    <w:basedOn w:val="1"/>
    <w:next w:val="1"/>
    <w:uiPriority w:val="0"/>
    <w:pPr>
      <w:keepLines/>
      <w:tabs>
        <w:tab w:val="center" w:pos="4536"/>
        <w:tab w:val="right" w:pos="9072"/>
      </w:tabs>
    </w:pPr>
  </w:style>
  <w:style w:type="paragraph" w:customStyle="1" w:styleId="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styleId="40">
    <w:name w:val="No Spacing"/>
    <w:qFormat/>
    <w:uiPriority w:val="1"/>
    <w:pPr>
      <w:widowControl w:val="0"/>
      <w:jc w:val="both"/>
    </w:pPr>
    <w:rPr>
      <w:kern w:val="2"/>
      <w:sz w:val="21"/>
      <w:szCs w:val="24"/>
      <w:lang w:val="en-US" w:eastAsia="zh-CN" w:bidi="ar-SA"/>
    </w:rPr>
  </w:style>
  <w:style w:type="paragraph" w:customStyle="1" w:styleId="41">
    <w:name w:val="TAN"/>
    <w:basedOn w:val="1"/>
    <w:link w:val="70"/>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2">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Arial"/>
      <w:sz w:val="40"/>
      <w:szCs w:val="40"/>
      <w:lang w:val="en-US" w:eastAsia="en-US" w:bidi="ar-SA"/>
    </w:rPr>
  </w:style>
  <w:style w:type="paragraph" w:customStyle="1" w:styleId="43">
    <w:name w:val="B1"/>
    <w:basedOn w:val="19"/>
    <w:link w:val="69"/>
    <w:uiPriority w:val="0"/>
    <w:pPr>
      <w:widowControl/>
      <w:spacing w:after="180"/>
      <w:ind w:left="568" w:hanging="284" w:firstLineChars="0"/>
      <w:jc w:val="left"/>
    </w:pPr>
    <w:rPr>
      <w:rFonts w:eastAsia="MS Mincho"/>
      <w:kern w:val="0"/>
      <w:sz w:val="20"/>
      <w:szCs w:val="20"/>
      <w:lang w:val="en-GB" w:eastAsia="de-DE"/>
    </w:rPr>
  </w:style>
  <w:style w:type="paragraph" w:customStyle="1" w:styleId="44">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45">
    <w:name w:val="NO"/>
    <w:basedOn w:val="1"/>
    <w:link w:val="75"/>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character" w:customStyle="1" w:styleId="46">
    <w:name w:val="Balloon Text Char"/>
    <w:link w:val="16"/>
    <w:semiHidden/>
    <w:uiPriority w:val="99"/>
    <w:rPr>
      <w:kern w:val="2"/>
      <w:sz w:val="18"/>
      <w:szCs w:val="18"/>
    </w:rPr>
  </w:style>
  <w:style w:type="character" w:customStyle="1" w:styleId="47">
    <w:name w:val="Heading 6 Char"/>
    <w:link w:val="7"/>
    <w:uiPriority w:val="0"/>
    <w:rPr>
      <w:rFonts w:ascii="Arial" w:hAnsi="Arial" w:eastAsia="宋体"/>
      <w:lang w:val="en-GB" w:eastAsia="en-US"/>
    </w:rPr>
  </w:style>
  <w:style w:type="character" w:customStyle="1" w:styleId="48">
    <w:name w:val="TAH Car"/>
    <w:link w:val="37"/>
    <w:uiPriority w:val="0"/>
    <w:rPr>
      <w:rFonts w:ascii="Arial" w:hAnsi="Arial" w:eastAsia="Times New Roman" w:cs="Times New Roman"/>
      <w:b/>
      <w:kern w:val="0"/>
      <w:sz w:val="18"/>
      <w:szCs w:val="20"/>
      <w:lang w:val="en-GB" w:eastAsia="ja-JP"/>
    </w:rPr>
  </w:style>
  <w:style w:type="character" w:customStyle="1" w:styleId="49">
    <w:name w:val="char char char Char"/>
    <w:link w:val="36"/>
    <w:uiPriority w:val="0"/>
    <w:rPr>
      <w:rFonts w:ascii="Arial" w:hAnsi="Arial" w:eastAsia="宋体" w:cs="Times New Roman"/>
      <w:kern w:val="0"/>
      <w:sz w:val="24"/>
      <w:szCs w:val="28"/>
    </w:rPr>
  </w:style>
  <w:style w:type="character" w:customStyle="1" w:styleId="50">
    <w:name w:val="Document Map Char"/>
    <w:link w:val="14"/>
    <w:semiHidden/>
    <w:uiPriority w:val="99"/>
    <w:rPr>
      <w:rFonts w:ascii="宋体" w:eastAsia="宋体"/>
      <w:sz w:val="18"/>
      <w:szCs w:val="18"/>
    </w:rPr>
  </w:style>
  <w:style w:type="character" w:customStyle="1" w:styleId="51">
    <w:name w:val="char char Char"/>
    <w:link w:val="27"/>
    <w:uiPriority w:val="0"/>
    <w:rPr>
      <w:rFonts w:ascii="Arial" w:hAnsi="Arial" w:eastAsia="宋体" w:cs="Times New Roman"/>
      <w:kern w:val="0"/>
      <w:sz w:val="28"/>
      <w:szCs w:val="32"/>
    </w:rPr>
  </w:style>
  <w:style w:type="character" w:customStyle="1" w:styleId="52">
    <w:name w:val="Comment Text Char"/>
    <w:link w:val="12"/>
    <w:semiHidden/>
    <w:uiPriority w:val="99"/>
    <w:rPr>
      <w:kern w:val="2"/>
      <w:lang w:eastAsia="zh-CN"/>
    </w:rPr>
  </w:style>
  <w:style w:type="character" w:customStyle="1" w:styleId="53">
    <w:name w:val="Heading 4 Char"/>
    <w:link w:val="5"/>
    <w:uiPriority w:val="0"/>
    <w:rPr>
      <w:rFonts w:ascii="Arial" w:hAnsi="Arial" w:eastAsia="宋体"/>
      <w:sz w:val="24"/>
      <w:lang w:val="en-GB" w:eastAsia="en-US"/>
    </w:rPr>
  </w:style>
  <w:style w:type="character" w:customStyle="1" w:styleId="54">
    <w:name w:val="Heading 5 Char"/>
    <w:link w:val="6"/>
    <w:uiPriority w:val="0"/>
    <w:rPr>
      <w:rFonts w:ascii="Arial" w:hAnsi="Arial" w:eastAsia="宋体"/>
      <w:sz w:val="22"/>
      <w:lang w:val="en-GB" w:eastAsia="en-US"/>
    </w:rPr>
  </w:style>
  <w:style w:type="character" w:customStyle="1" w:styleId="55">
    <w:name w:val="Char Char"/>
    <w:link w:val="32"/>
    <w:uiPriority w:val="0"/>
    <w:rPr>
      <w:rFonts w:ascii="Arial" w:hAnsi="Arial"/>
      <w:sz w:val="32"/>
      <w:szCs w:val="36"/>
    </w:rPr>
  </w:style>
  <w:style w:type="character" w:customStyle="1" w:styleId="56">
    <w:name w:val="Comment Subject Char"/>
    <w:link w:val="11"/>
    <w:semiHidden/>
    <w:uiPriority w:val="99"/>
    <w:rPr>
      <w:b/>
      <w:bCs/>
      <w:kern w:val="2"/>
      <w:lang w:eastAsia="zh-CN"/>
    </w:rPr>
  </w:style>
  <w:style w:type="character" w:customStyle="1" w:styleId="57">
    <w:name w:val="Footer Char"/>
    <w:link w:val="17"/>
    <w:uiPriority w:val="99"/>
    <w:rPr>
      <w:sz w:val="18"/>
      <w:szCs w:val="18"/>
    </w:rPr>
  </w:style>
  <w:style w:type="character" w:customStyle="1" w:styleId="58">
    <w:name w:val="Heading 7 Char"/>
    <w:link w:val="8"/>
    <w:uiPriority w:val="0"/>
    <w:rPr>
      <w:rFonts w:ascii="Arial" w:hAnsi="Arial" w:eastAsia="宋体"/>
      <w:lang w:val="en-GB" w:eastAsia="en-US"/>
    </w:rPr>
  </w:style>
  <w:style w:type="character" w:customStyle="1" w:styleId="59">
    <w:name w:val="keyword"/>
    <w:basedOn w:val="21"/>
    <w:uiPriority w:val="0"/>
  </w:style>
  <w:style w:type="character" w:customStyle="1" w:styleId="60">
    <w:name w:val="TAL Char"/>
    <w:link w:val="29"/>
    <w:uiPriority w:val="0"/>
    <w:rPr>
      <w:rFonts w:ascii="Arial" w:hAnsi="Arial"/>
      <w:sz w:val="18"/>
      <w:lang w:val="en-GB" w:eastAsia="en-US"/>
    </w:rPr>
  </w:style>
  <w:style w:type="character" w:customStyle="1" w:styleId="61">
    <w:name w:val="Caption Char"/>
    <w:link w:val="13"/>
    <w:uiPriority w:val="0"/>
    <w:rPr>
      <w:rFonts w:ascii="Arial" w:hAnsi="Arial" w:eastAsia="黑体"/>
    </w:rPr>
  </w:style>
  <w:style w:type="character" w:customStyle="1" w:styleId="62">
    <w:name w:val="Heading 8 Char"/>
    <w:link w:val="9"/>
    <w:uiPriority w:val="0"/>
    <w:rPr>
      <w:rFonts w:ascii="Arial" w:hAnsi="Arial" w:eastAsia="宋体"/>
      <w:sz w:val="36"/>
      <w:lang w:val="en-GB" w:eastAsia="en-US"/>
    </w:rPr>
  </w:style>
  <w:style w:type="character" w:customStyle="1" w:styleId="63">
    <w:name w:val="Heading 3 Char"/>
    <w:link w:val="4"/>
    <w:uiPriority w:val="0"/>
    <w:rPr>
      <w:rFonts w:ascii="Arial" w:hAnsi="Arial"/>
      <w:sz w:val="28"/>
      <w:lang w:eastAsia="en-US"/>
    </w:rPr>
  </w:style>
  <w:style w:type="character" w:customStyle="1" w:styleId="64">
    <w:name w:val="Heading 9 Char"/>
    <w:link w:val="10"/>
    <w:uiPriority w:val="0"/>
    <w:rPr>
      <w:rFonts w:ascii="Arial" w:hAnsi="Arial" w:eastAsia="宋体"/>
      <w:sz w:val="36"/>
      <w:lang w:val="en-GB" w:eastAsia="en-US"/>
    </w:rPr>
  </w:style>
  <w:style w:type="character" w:customStyle="1" w:styleId="65">
    <w:name w:val="正文1 Char"/>
    <w:link w:val="28"/>
    <w:uiPriority w:val="0"/>
    <w:rPr>
      <w:rFonts w:ascii="Times New Roman" w:hAnsi="Times New Roman" w:eastAsia="宋体" w:cs="Times New Roman"/>
      <w:kern w:val="0"/>
      <w:sz w:val="20"/>
      <w:szCs w:val="20"/>
    </w:rPr>
  </w:style>
  <w:style w:type="character" w:customStyle="1" w:styleId="66">
    <w:name w:val="Heading 1 Char"/>
    <w:link w:val="2"/>
    <w:uiPriority w:val="9"/>
    <w:rPr>
      <w:rFonts w:ascii="Cambria" w:hAnsi="Cambria" w:eastAsia="宋体" w:cs="Times New Roman"/>
      <w:b/>
      <w:bCs/>
      <w:kern w:val="32"/>
      <w:sz w:val="32"/>
      <w:szCs w:val="32"/>
      <w:lang w:val="en-US"/>
    </w:rPr>
  </w:style>
  <w:style w:type="character" w:customStyle="1" w:styleId="67">
    <w:name w:val="Heading 2 Char"/>
    <w:link w:val="3"/>
    <w:uiPriority w:val="0"/>
    <w:rPr>
      <w:rFonts w:ascii="Arial" w:hAnsi="Arial"/>
      <w:sz w:val="32"/>
      <w:lang w:eastAsia="en-US"/>
    </w:rPr>
  </w:style>
  <w:style w:type="character" w:customStyle="1" w:styleId="68">
    <w:name w:val="TAC Char"/>
    <w:link w:val="34"/>
    <w:uiPriority w:val="0"/>
    <w:rPr>
      <w:rFonts w:ascii="Arial" w:hAnsi="Arial" w:eastAsia="Times New Roman" w:cs="Times New Roman"/>
      <w:kern w:val="0"/>
      <w:sz w:val="18"/>
      <w:szCs w:val="20"/>
      <w:lang w:val="en-GB" w:eastAsia="ja-JP"/>
    </w:rPr>
  </w:style>
  <w:style w:type="character" w:customStyle="1" w:styleId="69">
    <w:name w:val="B1 Char"/>
    <w:link w:val="43"/>
    <w:uiPriority w:val="0"/>
    <w:rPr>
      <w:rFonts w:ascii="Times New Roman" w:hAnsi="Times New Roman" w:eastAsia="MS Mincho"/>
      <w:lang w:val="en-GB" w:eastAsia="de-DE"/>
    </w:rPr>
  </w:style>
  <w:style w:type="character" w:customStyle="1" w:styleId="70">
    <w:name w:val="TAN Char"/>
    <w:link w:val="41"/>
    <w:uiPriority w:val="0"/>
    <w:rPr>
      <w:rFonts w:ascii="Arial" w:hAnsi="Arial" w:eastAsia="宋体"/>
      <w:sz w:val="18"/>
      <w:szCs w:val="18"/>
      <w:lang w:val="en-GB"/>
    </w:rPr>
  </w:style>
  <w:style w:type="character" w:customStyle="1" w:styleId="71">
    <w:name w:val="op_dict_text2"/>
    <w:basedOn w:val="21"/>
    <w:uiPriority w:val="0"/>
  </w:style>
  <w:style w:type="character" w:customStyle="1" w:styleId="72">
    <w:name w:val="TH Char"/>
    <w:link w:val="30"/>
    <w:uiPriority w:val="0"/>
    <w:rPr>
      <w:rFonts w:ascii="Arial" w:hAnsi="Arial" w:eastAsia="宋体"/>
      <w:b/>
      <w:bCs/>
      <w:lang w:val="en-GB"/>
    </w:rPr>
  </w:style>
  <w:style w:type="character" w:customStyle="1" w:styleId="73">
    <w:name w:val="Header Char"/>
    <w:link w:val="18"/>
    <w:uiPriority w:val="99"/>
    <w:rPr>
      <w:sz w:val="18"/>
      <w:szCs w:val="18"/>
    </w:rPr>
  </w:style>
  <w:style w:type="character" w:customStyle="1" w:styleId="74">
    <w:name w:val="Body Text Char"/>
    <w:link w:val="15"/>
    <w:uiPriority w:val="0"/>
    <w:rPr>
      <w:rFonts w:ascii="Times New Roman" w:hAnsi="Times New Roman" w:eastAsia="Times New Roman" w:cs="Times New Roman"/>
      <w:kern w:val="0"/>
      <w:sz w:val="20"/>
      <w:szCs w:val="20"/>
      <w:lang w:val="en-GB" w:eastAsia="en-US"/>
    </w:rPr>
  </w:style>
  <w:style w:type="character" w:customStyle="1" w:styleId="75">
    <w:name w:val="NO Char"/>
    <w:link w:val="45"/>
    <w:uiPriority w:val="0"/>
    <w:rPr>
      <w:rFonts w:ascii="Times New Roman" w:hAnsi="Times New Roman" w:eastAsia="Times New Roman"/>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Pages>
  <Words>325</Words>
  <Characters>1859</Characters>
  <Lines>15</Lines>
  <Paragraphs>4</Paragraphs>
  <TotalTime>2</TotalTime>
  <ScaleCrop>false</ScaleCrop>
  <LinksUpToDate>false</LinksUpToDate>
  <CharactersWithSpaces>2180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2020-08-07T13:41:06Z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